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BCE" w:rsidRPr="00A37F2C" w:rsidRDefault="00850B26" w:rsidP="00D20782">
      <w:pPr>
        <w:rPr>
          <w:rFonts w:cs="Calibri"/>
        </w:rPr>
      </w:pPr>
      <w:r w:rsidRPr="00A37F2C">
        <w:rPr>
          <w:rFonts w:cs="Calibri"/>
        </w:rPr>
        <w:t xml:space="preserve">Date: </w:t>
      </w:r>
      <w:r w:rsidR="00ED51B2">
        <w:rPr>
          <w:rFonts w:cs="Calibri"/>
        </w:rPr>
        <w:t>June</w:t>
      </w:r>
      <w:r w:rsidR="00516E2A" w:rsidRPr="00A37F2C">
        <w:rPr>
          <w:rFonts w:cs="Calibri"/>
        </w:rPr>
        <w:t xml:space="preserve"> </w:t>
      </w:r>
      <w:r w:rsidR="003359D5" w:rsidRPr="00A37F2C">
        <w:rPr>
          <w:rFonts w:cs="Calibri"/>
        </w:rPr>
        <w:t>2017</w:t>
      </w:r>
    </w:p>
    <w:p w:rsidR="002628F3" w:rsidRPr="00A37F2C" w:rsidRDefault="002628F3" w:rsidP="002628F3">
      <w:pPr>
        <w:rPr>
          <w:rFonts w:cs="Calibri"/>
        </w:rPr>
      </w:pPr>
      <w:r w:rsidRPr="00A37F2C">
        <w:rPr>
          <w:rFonts w:cs="Calibri"/>
        </w:rPr>
        <w:t>Author:  Brian Gale, Director of Policy and Campaigns, NDCS</w:t>
      </w:r>
    </w:p>
    <w:p w:rsidR="002D7EDF" w:rsidRDefault="002D7EDF" w:rsidP="00ED51B2">
      <w:pPr>
        <w:rPr>
          <w:b/>
        </w:rPr>
      </w:pPr>
    </w:p>
    <w:p w:rsidR="00ED51B2" w:rsidRPr="002D7EDF" w:rsidRDefault="00ED51B2" w:rsidP="00ED51B2">
      <w:pPr>
        <w:rPr>
          <w:b/>
          <w:sz w:val="28"/>
          <w:szCs w:val="28"/>
        </w:rPr>
      </w:pPr>
      <w:r w:rsidRPr="002D7EDF">
        <w:rPr>
          <w:b/>
          <w:sz w:val="28"/>
          <w:szCs w:val="28"/>
        </w:rPr>
        <w:t xml:space="preserve">Aligning services for children and young people with a sensory impairment with </w:t>
      </w:r>
      <w:r w:rsidR="002D7EDF" w:rsidRPr="002D7EDF">
        <w:rPr>
          <w:b/>
          <w:sz w:val="28"/>
          <w:szCs w:val="28"/>
        </w:rPr>
        <w:t xml:space="preserve">the </w:t>
      </w:r>
      <w:r w:rsidRPr="002D7EDF">
        <w:rPr>
          <w:b/>
          <w:sz w:val="28"/>
          <w:szCs w:val="28"/>
        </w:rPr>
        <w:t>specific requirements of legislation and government guidance</w:t>
      </w:r>
    </w:p>
    <w:p w:rsidR="002D7EDF" w:rsidRDefault="002D7EDF" w:rsidP="00ED51B2"/>
    <w:p w:rsidR="00ED51B2" w:rsidRPr="00ED51B2" w:rsidRDefault="00ED51B2" w:rsidP="00ED51B2">
      <w:r w:rsidRPr="00ED51B2">
        <w:t xml:space="preserve">With immense pressure </w:t>
      </w:r>
      <w:r w:rsidR="002D7EDF">
        <w:t xml:space="preserve">on </w:t>
      </w:r>
      <w:r w:rsidRPr="00ED51B2">
        <w:t>local authority SEND budgets it is increasingly important to set out a strong business case for commissioning specialist support services for children and young people with sensory impairment.</w:t>
      </w:r>
    </w:p>
    <w:p w:rsidR="00ED51B2" w:rsidRPr="00ED51B2" w:rsidRDefault="00ED51B2" w:rsidP="00ED51B2">
      <w:r w:rsidRPr="00ED51B2">
        <w:t>The purpose of this document is to help sensory services and others to prep</w:t>
      </w:r>
      <w:r w:rsidR="002D7EDF">
        <w:t xml:space="preserve">are a business case by providing </w:t>
      </w:r>
      <w:r w:rsidRPr="00ED51B2">
        <w:t xml:space="preserve">a framework to align their services with key duties and requirements set out in legislation and government guidance. </w:t>
      </w:r>
      <w:r w:rsidR="002D7EDF">
        <w:t xml:space="preserve"> </w:t>
      </w:r>
      <w:r w:rsidRPr="00ED51B2">
        <w:t>It should be used in conjunction with other support materials such as the analysis of needs and outcomes.</w:t>
      </w:r>
    </w:p>
    <w:p w:rsidR="00ED51B2" w:rsidRPr="00ED51B2" w:rsidRDefault="00ED51B2" w:rsidP="00ED51B2">
      <w:r w:rsidRPr="00ED51B2">
        <w:t xml:space="preserve">The framework </w:t>
      </w:r>
      <w:r w:rsidR="002D7EDF">
        <w:t>in this document</w:t>
      </w:r>
      <w:r>
        <w:t xml:space="preserve"> </w:t>
      </w:r>
      <w:r w:rsidRPr="00ED51B2">
        <w:t>sets out:</w:t>
      </w:r>
    </w:p>
    <w:p w:rsidR="00ED51B2" w:rsidRPr="00ED51B2" w:rsidRDefault="00ED51B2" w:rsidP="00ED51B2">
      <w:pPr>
        <w:ind w:left="360" w:hanging="360"/>
      </w:pPr>
      <w:r w:rsidRPr="00ED51B2">
        <w:t>a)</w:t>
      </w:r>
      <w:r w:rsidRPr="00ED51B2">
        <w:tab/>
      </w:r>
      <w:r w:rsidR="0082784D">
        <w:t>t</w:t>
      </w:r>
      <w:r w:rsidR="002D7EDF">
        <w:t>he d</w:t>
      </w:r>
      <w:r w:rsidRPr="00ED51B2">
        <w:t>uties and requirements on LAs set out in legislation and government guidance</w:t>
      </w:r>
      <w:r>
        <w:t>.</w:t>
      </w:r>
    </w:p>
    <w:p w:rsidR="00ED51B2" w:rsidRPr="00ED51B2" w:rsidRDefault="00ED51B2" w:rsidP="00ED51B2">
      <w:pPr>
        <w:ind w:left="360" w:hanging="360"/>
      </w:pPr>
      <w:r w:rsidRPr="00ED51B2">
        <w:t>b)</w:t>
      </w:r>
      <w:r w:rsidRPr="00ED51B2">
        <w:tab/>
      </w:r>
      <w:r w:rsidR="002D7EDF">
        <w:t>a</w:t>
      </w:r>
      <w:r w:rsidRPr="00ED51B2">
        <w:t xml:space="preserve"> reference to the source of the particular duty or requirement (e.g. a section of the Children and Families Act 2014</w:t>
      </w:r>
      <w:r w:rsidR="002D7EDF">
        <w:t>,</w:t>
      </w:r>
      <w:r w:rsidRPr="00ED51B2">
        <w:t xml:space="preserve"> or a paragraph in the SEND Code of Practice 2015)</w:t>
      </w:r>
      <w:r>
        <w:t>.</w:t>
      </w:r>
    </w:p>
    <w:p w:rsidR="00ED51B2" w:rsidRPr="00ED51B2" w:rsidRDefault="00ED51B2" w:rsidP="00ED51B2">
      <w:pPr>
        <w:ind w:left="360" w:hanging="360"/>
      </w:pPr>
      <w:r w:rsidRPr="00ED51B2">
        <w:t>c)</w:t>
      </w:r>
      <w:r w:rsidRPr="00ED51B2">
        <w:tab/>
      </w:r>
      <w:r w:rsidR="002D7EDF">
        <w:t>a</w:t>
      </w:r>
      <w:r w:rsidRPr="00ED51B2">
        <w:t xml:space="preserve"> blank column to enable the service to record how it contributes to the duty or requirement</w:t>
      </w:r>
      <w:r>
        <w:t>.</w:t>
      </w:r>
    </w:p>
    <w:p w:rsidR="00246CA3" w:rsidRDefault="00ED51B2" w:rsidP="00ED51B2">
      <w:pPr>
        <w:ind w:left="360" w:hanging="360"/>
      </w:pPr>
      <w:r w:rsidRPr="00ED51B2">
        <w:t>d)</w:t>
      </w:r>
      <w:r w:rsidRPr="00ED51B2">
        <w:tab/>
      </w:r>
      <w:r w:rsidR="002D7EDF">
        <w:t>a</w:t>
      </w:r>
      <w:r w:rsidRPr="00ED51B2">
        <w:t xml:space="preserve"> blank column to enable services who think it may be helpful to roughly apportion its overall resource to various duties and requirements. </w:t>
      </w:r>
      <w:r w:rsidR="002D7EDF">
        <w:t xml:space="preserve"> </w:t>
      </w:r>
      <w:r w:rsidRPr="00ED51B2">
        <w:t>The more specific the duty or requirement t</w:t>
      </w:r>
      <w:r w:rsidR="002D7EDF">
        <w:t>he</w:t>
      </w:r>
      <w:r w:rsidRPr="00ED51B2">
        <w:t xml:space="preserve"> more easy </w:t>
      </w:r>
      <w:r w:rsidR="002D7EDF">
        <w:t xml:space="preserve">it </w:t>
      </w:r>
      <w:r w:rsidRPr="00ED51B2">
        <w:t>is to apportion time.</w:t>
      </w:r>
      <w:r w:rsidR="002D7EDF">
        <w:t xml:space="preserve"> </w:t>
      </w:r>
      <w:r w:rsidRPr="00ED51B2">
        <w:t xml:space="preserve"> It is more difficult to do this for more general duties such as the statutory duty to promote equality of opportunity under the Equality Act 2010.</w:t>
      </w:r>
    </w:p>
    <w:p w:rsidR="003266CB" w:rsidRPr="00A37F2C" w:rsidRDefault="003266CB" w:rsidP="00ED51B2">
      <w:pPr>
        <w:ind w:left="360" w:hanging="360"/>
        <w:rPr>
          <w:rFonts w:cs="Calibri"/>
          <w:lang w:val="en"/>
        </w:rPr>
      </w:pPr>
    </w:p>
    <w:p w:rsidR="00ED51B2" w:rsidRDefault="00ED51B2" w:rsidP="00246CA3">
      <w:pPr>
        <w:sectPr w:rsidR="00ED51B2" w:rsidSect="00984887">
          <w:headerReference w:type="even" r:id="rId8"/>
          <w:headerReference w:type="default" r:id="rId9"/>
          <w:footerReference w:type="even" r:id="rId10"/>
          <w:footerReference w:type="default" r:id="rId11"/>
          <w:headerReference w:type="first" r:id="rId12"/>
          <w:footerReference w:type="first" r:id="rId13"/>
          <w:pgSz w:w="11907" w:h="16840" w:code="9"/>
          <w:pgMar w:top="720" w:right="720" w:bottom="720" w:left="720" w:header="706" w:footer="706" w:gutter="0"/>
          <w:cols w:space="708"/>
          <w:titlePg/>
          <w:docGrid w:linePitch="360"/>
        </w:sectPr>
      </w:pPr>
    </w:p>
    <w:tbl>
      <w:tblPr>
        <w:tblStyle w:val="TableGrid"/>
        <w:tblW w:w="15134" w:type="dxa"/>
        <w:tblLook w:val="04A0" w:firstRow="1" w:lastRow="0" w:firstColumn="1" w:lastColumn="0" w:noHBand="0" w:noVBand="1"/>
      </w:tblPr>
      <w:tblGrid>
        <w:gridCol w:w="5631"/>
        <w:gridCol w:w="1857"/>
        <w:gridCol w:w="6512"/>
        <w:gridCol w:w="1134"/>
      </w:tblGrid>
      <w:tr w:rsidR="00ED51B2" w:rsidRPr="00ED51B2" w:rsidTr="00B56F78">
        <w:trPr>
          <w:tblHeader/>
        </w:trPr>
        <w:tc>
          <w:tcPr>
            <w:tcW w:w="5637" w:type="dxa"/>
          </w:tcPr>
          <w:p w:rsidR="00ED51B2" w:rsidRPr="00ED51B2" w:rsidRDefault="00ED51B2" w:rsidP="00ED51B2">
            <w:pPr>
              <w:spacing w:before="40" w:after="40"/>
              <w:rPr>
                <w:rFonts w:cs="Calibri"/>
                <w:b/>
                <w:sz w:val="22"/>
                <w:szCs w:val="22"/>
              </w:rPr>
            </w:pPr>
            <w:r w:rsidRPr="00ED51B2">
              <w:rPr>
                <w:rFonts w:cs="Calibri"/>
                <w:b/>
                <w:sz w:val="22"/>
                <w:szCs w:val="22"/>
              </w:rPr>
              <w:lastRenderedPageBreak/>
              <w:t>Duties and Requirements</w:t>
            </w:r>
          </w:p>
        </w:tc>
        <w:tc>
          <w:tcPr>
            <w:tcW w:w="1842" w:type="dxa"/>
          </w:tcPr>
          <w:p w:rsidR="00ED51B2" w:rsidRPr="00ED51B2" w:rsidRDefault="00ED51B2" w:rsidP="002D7EDF">
            <w:pPr>
              <w:spacing w:before="40" w:after="40"/>
              <w:rPr>
                <w:rFonts w:cs="Calibri"/>
                <w:b/>
                <w:sz w:val="22"/>
                <w:szCs w:val="22"/>
              </w:rPr>
            </w:pPr>
            <w:r w:rsidRPr="00ED51B2">
              <w:rPr>
                <w:rFonts w:cs="Calibri"/>
                <w:b/>
                <w:sz w:val="22"/>
                <w:szCs w:val="22"/>
              </w:rPr>
              <w:t>Source/Ref</w:t>
            </w:r>
            <w:r w:rsidR="002D7EDF">
              <w:rPr>
                <w:rFonts w:cs="Calibri"/>
                <w:b/>
                <w:sz w:val="22"/>
                <w:szCs w:val="22"/>
              </w:rPr>
              <w:t>erence</w:t>
            </w:r>
          </w:p>
        </w:tc>
        <w:tc>
          <w:tcPr>
            <w:tcW w:w="6521" w:type="dxa"/>
          </w:tcPr>
          <w:p w:rsidR="00ED51B2" w:rsidRPr="00ED51B2" w:rsidRDefault="00ED51B2" w:rsidP="00ED51B2">
            <w:pPr>
              <w:spacing w:before="40" w:after="40"/>
              <w:rPr>
                <w:rFonts w:cs="Calibri"/>
                <w:b/>
                <w:sz w:val="22"/>
                <w:szCs w:val="22"/>
              </w:rPr>
            </w:pPr>
            <w:r w:rsidRPr="00ED51B2">
              <w:rPr>
                <w:rFonts w:cs="Calibri"/>
                <w:b/>
                <w:sz w:val="22"/>
                <w:szCs w:val="22"/>
              </w:rPr>
              <w:t>Note of the Sensory Service’s activities in supporting Local Authority statutory duties and/or functions</w:t>
            </w:r>
          </w:p>
        </w:tc>
        <w:tc>
          <w:tcPr>
            <w:tcW w:w="1134" w:type="dxa"/>
          </w:tcPr>
          <w:p w:rsidR="00ED51B2" w:rsidRPr="00ED51B2" w:rsidRDefault="00ED51B2" w:rsidP="00ED51B2">
            <w:pPr>
              <w:spacing w:before="40" w:after="40"/>
              <w:jc w:val="center"/>
              <w:rPr>
                <w:rFonts w:cs="Calibri"/>
                <w:b/>
                <w:sz w:val="22"/>
                <w:szCs w:val="22"/>
              </w:rPr>
            </w:pPr>
            <w:r w:rsidRPr="00ED51B2">
              <w:rPr>
                <w:rFonts w:cs="Calibri"/>
                <w:b/>
                <w:sz w:val="22"/>
                <w:szCs w:val="22"/>
              </w:rPr>
              <w:t>% of service time</w:t>
            </w:r>
          </w:p>
        </w:tc>
      </w:tr>
      <w:tr w:rsidR="00ED51B2" w:rsidRPr="00ED51B2" w:rsidTr="00B56F78">
        <w:tc>
          <w:tcPr>
            <w:tcW w:w="5637" w:type="dxa"/>
          </w:tcPr>
          <w:p w:rsidR="00ED51B2" w:rsidRPr="00ED51B2" w:rsidRDefault="00ED51B2" w:rsidP="00ED51B2">
            <w:pPr>
              <w:spacing w:before="40" w:after="40"/>
              <w:rPr>
                <w:rFonts w:cs="Calibri"/>
                <w:sz w:val="22"/>
                <w:szCs w:val="22"/>
              </w:rPr>
            </w:pPr>
            <w:r w:rsidRPr="00ED51B2">
              <w:rPr>
                <w:rFonts w:cs="Calibri"/>
                <w:b/>
                <w:sz w:val="22"/>
                <w:szCs w:val="22"/>
              </w:rPr>
              <w:t xml:space="preserve">Identification </w:t>
            </w:r>
          </w:p>
          <w:p w:rsidR="00ED51B2" w:rsidRPr="00ED51B2" w:rsidRDefault="00ED51B2" w:rsidP="002D7EDF">
            <w:pPr>
              <w:spacing w:before="40" w:after="40"/>
              <w:rPr>
                <w:rFonts w:cs="Calibri"/>
                <w:sz w:val="22"/>
                <w:szCs w:val="22"/>
              </w:rPr>
            </w:pPr>
            <w:r w:rsidRPr="00ED51B2">
              <w:rPr>
                <w:rFonts w:cs="Calibri"/>
                <w:sz w:val="22"/>
                <w:szCs w:val="22"/>
              </w:rPr>
              <w:t xml:space="preserve">A Local Authority  </w:t>
            </w:r>
            <w:r w:rsidRPr="003266CB">
              <w:rPr>
                <w:rFonts w:cs="Calibri"/>
                <w:b/>
                <w:bCs/>
                <w:sz w:val="22"/>
                <w:szCs w:val="22"/>
              </w:rPr>
              <w:t xml:space="preserve">must </w:t>
            </w:r>
            <w:r w:rsidRPr="00ED51B2">
              <w:rPr>
                <w:rFonts w:cs="Calibri"/>
                <w:sz w:val="22"/>
                <w:szCs w:val="22"/>
              </w:rPr>
              <w:t xml:space="preserve">identify </w:t>
            </w:r>
            <w:r w:rsidRPr="003266CB">
              <w:rPr>
                <w:rFonts w:cs="Calibri"/>
                <w:b/>
                <w:bCs/>
                <w:sz w:val="22"/>
                <w:szCs w:val="22"/>
              </w:rPr>
              <w:t>all</w:t>
            </w:r>
            <w:r w:rsidRPr="00ED51B2">
              <w:rPr>
                <w:rFonts w:cs="Calibri"/>
                <w:sz w:val="22"/>
                <w:szCs w:val="22"/>
              </w:rPr>
              <w:t xml:space="preserve"> C</w:t>
            </w:r>
            <w:r w:rsidR="002D7EDF">
              <w:rPr>
                <w:rFonts w:cs="Calibri"/>
                <w:sz w:val="22"/>
                <w:szCs w:val="22"/>
              </w:rPr>
              <w:t xml:space="preserve">YP </w:t>
            </w:r>
            <w:r w:rsidRPr="00ED51B2">
              <w:rPr>
                <w:rFonts w:cs="Calibri"/>
                <w:sz w:val="22"/>
                <w:szCs w:val="22"/>
              </w:rPr>
              <w:t xml:space="preserve">with SEN or a </w:t>
            </w:r>
            <w:r>
              <w:rPr>
                <w:rFonts w:cs="Calibri"/>
                <w:sz w:val="22"/>
                <w:szCs w:val="22"/>
              </w:rPr>
              <w:t>d</w:t>
            </w:r>
            <w:r w:rsidRPr="00ED51B2">
              <w:rPr>
                <w:rFonts w:cs="Calibri"/>
                <w:sz w:val="22"/>
                <w:szCs w:val="22"/>
              </w:rPr>
              <w:t>isability</w:t>
            </w:r>
            <w:r w:rsidR="002D7EDF">
              <w:rPr>
                <w:rFonts w:cs="Calibri"/>
                <w:sz w:val="22"/>
                <w:szCs w:val="22"/>
              </w:rPr>
              <w:t>.</w:t>
            </w:r>
            <w:r w:rsidRPr="00ED51B2">
              <w:rPr>
                <w:rStyle w:val="FootnoteReference"/>
                <w:rFonts w:cs="Calibri"/>
                <w:sz w:val="22"/>
                <w:szCs w:val="22"/>
              </w:rPr>
              <w:footnoteReference w:id="1"/>
            </w:r>
          </w:p>
        </w:tc>
        <w:tc>
          <w:tcPr>
            <w:tcW w:w="1842" w:type="dxa"/>
          </w:tcPr>
          <w:p w:rsidR="00ED51B2" w:rsidRPr="00ED51B2" w:rsidRDefault="00ED51B2" w:rsidP="002D7EDF">
            <w:pPr>
              <w:spacing w:before="40" w:after="40"/>
              <w:rPr>
                <w:rFonts w:cs="Calibri"/>
                <w:sz w:val="22"/>
                <w:szCs w:val="22"/>
              </w:rPr>
            </w:pPr>
            <w:r w:rsidRPr="00ED51B2">
              <w:rPr>
                <w:rFonts w:cs="Calibri"/>
                <w:sz w:val="22"/>
                <w:szCs w:val="22"/>
              </w:rPr>
              <w:t>Children and Families Act 2014</w:t>
            </w:r>
            <w:r w:rsidR="002D7EDF">
              <w:rPr>
                <w:rFonts w:cs="Calibri"/>
                <w:sz w:val="22"/>
                <w:szCs w:val="22"/>
              </w:rPr>
              <w:t xml:space="preserve">, </w:t>
            </w:r>
            <w:r w:rsidRPr="003266CB">
              <w:rPr>
                <w:rFonts w:cs="Calibri"/>
                <w:sz w:val="22"/>
                <w:szCs w:val="22"/>
              </w:rPr>
              <w:t>Section 22</w:t>
            </w:r>
            <w:r w:rsidR="003266CB">
              <w:rPr>
                <w:rStyle w:val="FootnoteReference"/>
                <w:rFonts w:cs="Calibri"/>
                <w:sz w:val="22"/>
                <w:szCs w:val="22"/>
              </w:rPr>
              <w:footnoteReference w:id="2"/>
            </w:r>
          </w:p>
        </w:tc>
        <w:tc>
          <w:tcPr>
            <w:tcW w:w="6521" w:type="dxa"/>
          </w:tcPr>
          <w:p w:rsidR="00ED51B2" w:rsidRPr="00ED51B2" w:rsidRDefault="00ED51B2" w:rsidP="00ED51B2">
            <w:pPr>
              <w:spacing w:before="40" w:after="40"/>
              <w:rPr>
                <w:rFonts w:cs="Calibri"/>
                <w:sz w:val="22"/>
                <w:szCs w:val="22"/>
              </w:rPr>
            </w:pPr>
          </w:p>
        </w:tc>
        <w:tc>
          <w:tcPr>
            <w:tcW w:w="1134" w:type="dxa"/>
          </w:tcPr>
          <w:p w:rsidR="00ED51B2" w:rsidRPr="00ED51B2" w:rsidRDefault="00ED51B2" w:rsidP="00ED51B2">
            <w:pPr>
              <w:spacing w:before="40" w:after="40"/>
              <w:jc w:val="center"/>
              <w:rPr>
                <w:rFonts w:cs="Calibri"/>
                <w:sz w:val="22"/>
                <w:szCs w:val="22"/>
              </w:rPr>
            </w:pPr>
          </w:p>
        </w:tc>
      </w:tr>
      <w:tr w:rsidR="00ED51B2" w:rsidRPr="00ED51B2" w:rsidTr="00B56F78">
        <w:tc>
          <w:tcPr>
            <w:tcW w:w="5637" w:type="dxa"/>
          </w:tcPr>
          <w:p w:rsidR="00ED51B2" w:rsidRPr="00ED51B2" w:rsidRDefault="00ED51B2" w:rsidP="00ED51B2">
            <w:pPr>
              <w:spacing w:before="40" w:after="40"/>
              <w:rPr>
                <w:rFonts w:cs="Calibri"/>
                <w:b/>
                <w:sz w:val="22"/>
                <w:szCs w:val="22"/>
              </w:rPr>
            </w:pPr>
            <w:r w:rsidRPr="00ED51B2">
              <w:rPr>
                <w:rFonts w:cs="Calibri"/>
                <w:b/>
                <w:sz w:val="22"/>
                <w:szCs w:val="22"/>
              </w:rPr>
              <w:t>Responsibility for children and young people with SEND</w:t>
            </w:r>
            <w:r w:rsidRPr="00ED51B2">
              <w:rPr>
                <w:rStyle w:val="FootnoteReference"/>
                <w:rFonts w:cs="Calibri"/>
                <w:sz w:val="22"/>
                <w:szCs w:val="22"/>
              </w:rPr>
              <w:footnoteReference w:id="3"/>
            </w:r>
          </w:p>
          <w:p w:rsidR="00ED51B2" w:rsidRPr="00ED51B2" w:rsidRDefault="00ED51B2" w:rsidP="00ED51B2">
            <w:pPr>
              <w:spacing w:before="40" w:after="40"/>
              <w:rPr>
                <w:rFonts w:cs="Calibri"/>
                <w:sz w:val="22"/>
                <w:szCs w:val="22"/>
              </w:rPr>
            </w:pPr>
            <w:r w:rsidRPr="00ED51B2">
              <w:rPr>
                <w:rFonts w:cs="Calibri"/>
                <w:sz w:val="22"/>
                <w:szCs w:val="22"/>
              </w:rPr>
              <w:t>A</w:t>
            </w:r>
            <w:r w:rsidR="002D7EDF">
              <w:rPr>
                <w:rFonts w:cs="Calibri"/>
                <w:sz w:val="22"/>
                <w:szCs w:val="22"/>
              </w:rPr>
              <w:t>n</w:t>
            </w:r>
            <w:r w:rsidRPr="00ED51B2">
              <w:rPr>
                <w:rFonts w:cs="Calibri"/>
                <w:sz w:val="22"/>
                <w:szCs w:val="22"/>
              </w:rPr>
              <w:t xml:space="preserve"> LA is </w:t>
            </w:r>
            <w:r w:rsidRPr="003266CB">
              <w:rPr>
                <w:rFonts w:cs="Calibri"/>
                <w:b/>
                <w:bCs/>
                <w:sz w:val="22"/>
                <w:szCs w:val="22"/>
              </w:rPr>
              <w:t xml:space="preserve">responsible </w:t>
            </w:r>
            <w:r w:rsidRPr="00ED51B2">
              <w:rPr>
                <w:rFonts w:cs="Calibri"/>
                <w:sz w:val="22"/>
                <w:szCs w:val="22"/>
              </w:rPr>
              <w:t>for a child or young person:</w:t>
            </w:r>
          </w:p>
          <w:p w:rsidR="00ED51B2" w:rsidRPr="00ED51B2" w:rsidRDefault="00ED51B2" w:rsidP="00ED51B2">
            <w:pPr>
              <w:numPr>
                <w:ilvl w:val="0"/>
                <w:numId w:val="33"/>
              </w:numPr>
              <w:tabs>
                <w:tab w:val="clear" w:pos="720"/>
              </w:tabs>
              <w:spacing w:before="40" w:after="40"/>
              <w:ind w:left="360"/>
              <w:rPr>
                <w:rFonts w:cs="Calibri"/>
                <w:sz w:val="22"/>
                <w:szCs w:val="22"/>
              </w:rPr>
            </w:pPr>
            <w:r w:rsidRPr="00ED51B2">
              <w:rPr>
                <w:rFonts w:cs="Calibri"/>
                <w:sz w:val="22"/>
                <w:szCs w:val="22"/>
              </w:rPr>
              <w:t xml:space="preserve"> identified by the LA as having SEND (or </w:t>
            </w:r>
            <w:r w:rsidRPr="003266CB">
              <w:rPr>
                <w:rFonts w:cs="Calibri"/>
                <w:b/>
                <w:bCs/>
                <w:sz w:val="22"/>
                <w:szCs w:val="22"/>
              </w:rPr>
              <w:t>may</w:t>
            </w:r>
            <w:r w:rsidRPr="00ED51B2">
              <w:rPr>
                <w:rFonts w:cs="Calibri"/>
                <w:sz w:val="22"/>
                <w:szCs w:val="22"/>
              </w:rPr>
              <w:t xml:space="preserve"> have SEN)</w:t>
            </w:r>
          </w:p>
          <w:p w:rsidR="00ED51B2" w:rsidRPr="00ED51B2" w:rsidRDefault="00ED51B2" w:rsidP="00ED51B2">
            <w:pPr>
              <w:numPr>
                <w:ilvl w:val="0"/>
                <w:numId w:val="33"/>
              </w:numPr>
              <w:tabs>
                <w:tab w:val="clear" w:pos="720"/>
              </w:tabs>
              <w:spacing w:before="40" w:after="40"/>
              <w:ind w:left="360"/>
              <w:rPr>
                <w:rFonts w:cs="Calibri"/>
                <w:b/>
                <w:sz w:val="22"/>
                <w:szCs w:val="22"/>
              </w:rPr>
            </w:pPr>
            <w:r w:rsidRPr="00ED51B2">
              <w:rPr>
                <w:rFonts w:cs="Calibri"/>
                <w:sz w:val="22"/>
                <w:szCs w:val="22"/>
              </w:rPr>
              <w:t xml:space="preserve"> brought to the LA’s attention by </w:t>
            </w:r>
            <w:r w:rsidRPr="003266CB">
              <w:rPr>
                <w:rFonts w:cs="Calibri"/>
                <w:b/>
                <w:bCs/>
                <w:sz w:val="22"/>
                <w:szCs w:val="22"/>
              </w:rPr>
              <w:t>any person</w:t>
            </w:r>
            <w:r w:rsidRPr="00ED51B2">
              <w:rPr>
                <w:rFonts w:cs="Calibri"/>
                <w:sz w:val="22"/>
                <w:szCs w:val="22"/>
              </w:rPr>
              <w:t xml:space="preserve"> as someone </w:t>
            </w:r>
            <w:r w:rsidR="002D7EDF">
              <w:rPr>
                <w:rFonts w:cs="Calibri"/>
                <w:sz w:val="22"/>
                <w:szCs w:val="22"/>
              </w:rPr>
              <w:t xml:space="preserve">who </w:t>
            </w:r>
            <w:r w:rsidRPr="00ED51B2">
              <w:rPr>
                <w:rFonts w:cs="Calibri"/>
                <w:sz w:val="22"/>
                <w:szCs w:val="22"/>
              </w:rPr>
              <w:t xml:space="preserve">has or </w:t>
            </w:r>
            <w:r w:rsidRPr="003266CB">
              <w:rPr>
                <w:rFonts w:cs="Calibri"/>
                <w:b/>
                <w:bCs/>
                <w:sz w:val="22"/>
                <w:szCs w:val="22"/>
              </w:rPr>
              <w:t>may</w:t>
            </w:r>
            <w:r w:rsidRPr="00ED51B2">
              <w:rPr>
                <w:rFonts w:cs="Calibri"/>
                <w:sz w:val="22"/>
                <w:szCs w:val="22"/>
              </w:rPr>
              <w:t xml:space="preserve"> have SEN</w:t>
            </w:r>
          </w:p>
        </w:tc>
        <w:tc>
          <w:tcPr>
            <w:tcW w:w="1842" w:type="dxa"/>
          </w:tcPr>
          <w:p w:rsidR="00ED51B2" w:rsidRPr="00ED51B2" w:rsidRDefault="00ED51B2" w:rsidP="002D7EDF">
            <w:pPr>
              <w:spacing w:before="40" w:after="40"/>
              <w:rPr>
                <w:rFonts w:cs="Calibri"/>
                <w:sz w:val="22"/>
                <w:szCs w:val="22"/>
              </w:rPr>
            </w:pPr>
            <w:r w:rsidRPr="00ED51B2">
              <w:rPr>
                <w:rFonts w:cs="Calibri"/>
                <w:sz w:val="22"/>
                <w:szCs w:val="22"/>
              </w:rPr>
              <w:t>Children and Families Act</w:t>
            </w:r>
            <w:r w:rsidR="002D7EDF">
              <w:rPr>
                <w:rFonts w:cs="Calibri"/>
                <w:sz w:val="22"/>
                <w:szCs w:val="22"/>
              </w:rPr>
              <w:t xml:space="preserve"> </w:t>
            </w:r>
            <w:r w:rsidRPr="00ED51B2">
              <w:rPr>
                <w:rFonts w:cs="Calibri"/>
                <w:sz w:val="22"/>
                <w:szCs w:val="22"/>
              </w:rPr>
              <w:t>20</w:t>
            </w:r>
            <w:r w:rsidR="002D7EDF">
              <w:rPr>
                <w:rFonts w:cs="Calibri"/>
                <w:sz w:val="22"/>
                <w:szCs w:val="22"/>
              </w:rPr>
              <w:t xml:space="preserve">14, </w:t>
            </w:r>
            <w:r w:rsidRPr="003266CB">
              <w:rPr>
                <w:rFonts w:cs="Calibri"/>
                <w:sz w:val="22"/>
                <w:szCs w:val="22"/>
              </w:rPr>
              <w:t>Section 24</w:t>
            </w:r>
            <w:r w:rsidR="003266CB">
              <w:rPr>
                <w:rStyle w:val="FootnoteReference"/>
                <w:rFonts w:cs="Calibri"/>
                <w:sz w:val="22"/>
                <w:szCs w:val="22"/>
              </w:rPr>
              <w:footnoteReference w:id="4"/>
            </w:r>
            <w:bookmarkStart w:id="0" w:name="_GoBack"/>
            <w:bookmarkEnd w:id="0"/>
          </w:p>
        </w:tc>
        <w:tc>
          <w:tcPr>
            <w:tcW w:w="6521" w:type="dxa"/>
          </w:tcPr>
          <w:p w:rsidR="00ED51B2" w:rsidRPr="00ED51B2" w:rsidRDefault="00ED51B2" w:rsidP="00ED51B2">
            <w:pPr>
              <w:spacing w:before="40" w:after="40"/>
              <w:rPr>
                <w:rFonts w:cs="Calibri"/>
                <w:sz w:val="22"/>
                <w:szCs w:val="22"/>
              </w:rPr>
            </w:pPr>
          </w:p>
        </w:tc>
        <w:tc>
          <w:tcPr>
            <w:tcW w:w="1134" w:type="dxa"/>
          </w:tcPr>
          <w:p w:rsidR="00ED51B2" w:rsidRPr="00ED51B2" w:rsidRDefault="00ED51B2" w:rsidP="00ED51B2">
            <w:pPr>
              <w:spacing w:before="40" w:after="40"/>
              <w:jc w:val="center"/>
              <w:rPr>
                <w:rFonts w:cs="Calibri"/>
                <w:b/>
                <w:sz w:val="22"/>
                <w:szCs w:val="22"/>
              </w:rPr>
            </w:pPr>
          </w:p>
        </w:tc>
      </w:tr>
      <w:tr w:rsidR="00ED51B2" w:rsidRPr="00ED51B2" w:rsidTr="00B56F78">
        <w:tc>
          <w:tcPr>
            <w:tcW w:w="5637" w:type="dxa"/>
          </w:tcPr>
          <w:p w:rsidR="00ED51B2" w:rsidRPr="00ED51B2" w:rsidRDefault="00ED51B2" w:rsidP="00ED51B2">
            <w:pPr>
              <w:spacing w:before="40" w:after="40"/>
              <w:rPr>
                <w:rFonts w:cs="Calibri"/>
                <w:b/>
                <w:sz w:val="22"/>
                <w:szCs w:val="22"/>
              </w:rPr>
            </w:pPr>
            <w:r w:rsidRPr="00ED51B2">
              <w:rPr>
                <w:rFonts w:cs="Calibri"/>
                <w:b/>
                <w:sz w:val="22"/>
                <w:szCs w:val="22"/>
              </w:rPr>
              <w:t xml:space="preserve">Key worker </w:t>
            </w:r>
          </w:p>
          <w:p w:rsidR="00ED51B2" w:rsidRPr="00ED51B2" w:rsidRDefault="00ED51B2" w:rsidP="00ED51B2">
            <w:pPr>
              <w:spacing w:before="40" w:after="40"/>
              <w:rPr>
                <w:rFonts w:cs="Calibri"/>
                <w:sz w:val="22"/>
                <w:szCs w:val="22"/>
              </w:rPr>
            </w:pPr>
            <w:r w:rsidRPr="00ED51B2">
              <w:rPr>
                <w:rFonts w:cs="Calibri"/>
                <w:sz w:val="22"/>
                <w:szCs w:val="22"/>
              </w:rPr>
              <w:t xml:space="preserve">LAs </w:t>
            </w:r>
            <w:r w:rsidRPr="00ED51B2">
              <w:rPr>
                <w:rFonts w:cs="Calibri"/>
                <w:b/>
                <w:bCs/>
                <w:sz w:val="22"/>
                <w:szCs w:val="22"/>
              </w:rPr>
              <w:t>should</w:t>
            </w:r>
            <w:r w:rsidRPr="00ED51B2">
              <w:rPr>
                <w:rFonts w:cs="Calibri"/>
                <w:sz w:val="22"/>
                <w:szCs w:val="22"/>
              </w:rPr>
              <w:t xml:space="preserve"> adopt a key working approach</w:t>
            </w:r>
            <w:r w:rsidR="002D7EDF">
              <w:rPr>
                <w:rFonts w:cs="Calibri"/>
                <w:sz w:val="22"/>
                <w:szCs w:val="22"/>
              </w:rPr>
              <w:t xml:space="preserve"> </w:t>
            </w:r>
            <w:r w:rsidRPr="00ED51B2">
              <w:rPr>
                <w:rFonts w:cs="Calibri"/>
                <w:sz w:val="22"/>
                <w:szCs w:val="22"/>
              </w:rPr>
              <w:t xml:space="preserve">which provides children, young people and parents with a single point of contact to ensure holistic provision and co-ordination. </w:t>
            </w:r>
          </w:p>
          <w:p w:rsidR="00ED51B2" w:rsidRPr="00ED51B2" w:rsidRDefault="00ED51B2" w:rsidP="00ED51B2">
            <w:pPr>
              <w:spacing w:before="40" w:after="40"/>
              <w:rPr>
                <w:rFonts w:cs="Calibri"/>
                <w:sz w:val="22"/>
                <w:szCs w:val="22"/>
              </w:rPr>
            </w:pPr>
            <w:r w:rsidRPr="00ED51B2">
              <w:rPr>
                <w:rFonts w:cs="Calibri"/>
                <w:sz w:val="22"/>
                <w:szCs w:val="22"/>
              </w:rPr>
              <w:t>Can be offered where the child or YP has SEN e.g. offered SEN support in school</w:t>
            </w:r>
          </w:p>
        </w:tc>
        <w:tc>
          <w:tcPr>
            <w:tcW w:w="1842" w:type="dxa"/>
          </w:tcPr>
          <w:p w:rsidR="002D7EDF" w:rsidRDefault="00ED51B2" w:rsidP="00ED51B2">
            <w:pPr>
              <w:spacing w:before="40" w:after="40"/>
              <w:rPr>
                <w:rFonts w:cs="Calibri"/>
                <w:sz w:val="22"/>
                <w:szCs w:val="22"/>
              </w:rPr>
            </w:pPr>
            <w:r w:rsidRPr="00ED51B2">
              <w:rPr>
                <w:rFonts w:cs="Calibri"/>
                <w:sz w:val="22"/>
                <w:szCs w:val="22"/>
              </w:rPr>
              <w:t xml:space="preserve">SEND Code of Practice. </w:t>
            </w:r>
            <w:r w:rsidR="002D7EDF">
              <w:rPr>
                <w:rFonts w:cs="Calibri"/>
                <w:sz w:val="22"/>
                <w:szCs w:val="22"/>
              </w:rPr>
              <w:br/>
              <w:t>DfE 2015</w:t>
            </w:r>
          </w:p>
          <w:p w:rsidR="00ED51B2" w:rsidRPr="00ED51B2" w:rsidRDefault="00ED51B2" w:rsidP="00ED51B2">
            <w:pPr>
              <w:spacing w:before="40" w:after="40"/>
              <w:rPr>
                <w:rFonts w:cs="Calibri"/>
                <w:sz w:val="22"/>
                <w:szCs w:val="22"/>
              </w:rPr>
            </w:pPr>
            <w:r w:rsidRPr="00ED51B2">
              <w:rPr>
                <w:rFonts w:cs="Calibri"/>
                <w:sz w:val="22"/>
                <w:szCs w:val="22"/>
              </w:rPr>
              <w:t>Para 2.21</w:t>
            </w:r>
          </w:p>
        </w:tc>
        <w:tc>
          <w:tcPr>
            <w:tcW w:w="6521" w:type="dxa"/>
          </w:tcPr>
          <w:p w:rsidR="00ED51B2" w:rsidRPr="00ED51B2" w:rsidRDefault="00ED51B2" w:rsidP="00ED51B2">
            <w:pPr>
              <w:spacing w:before="40" w:after="40"/>
              <w:rPr>
                <w:rFonts w:cs="Calibri"/>
                <w:sz w:val="22"/>
                <w:szCs w:val="22"/>
              </w:rPr>
            </w:pPr>
          </w:p>
        </w:tc>
        <w:tc>
          <w:tcPr>
            <w:tcW w:w="1134" w:type="dxa"/>
          </w:tcPr>
          <w:p w:rsidR="00ED51B2" w:rsidRPr="00ED51B2" w:rsidRDefault="00ED51B2" w:rsidP="00ED51B2">
            <w:pPr>
              <w:spacing w:before="40" w:after="40"/>
              <w:jc w:val="center"/>
              <w:rPr>
                <w:rFonts w:cs="Calibri"/>
                <w:sz w:val="22"/>
                <w:szCs w:val="22"/>
              </w:rPr>
            </w:pPr>
          </w:p>
        </w:tc>
      </w:tr>
      <w:tr w:rsidR="00ED51B2" w:rsidRPr="00ED51B2" w:rsidTr="00B56F78">
        <w:tc>
          <w:tcPr>
            <w:tcW w:w="5637" w:type="dxa"/>
          </w:tcPr>
          <w:p w:rsidR="00602215" w:rsidRDefault="00ED51B2" w:rsidP="00ED51B2">
            <w:pPr>
              <w:pStyle w:val="BodyText"/>
              <w:spacing w:before="40" w:after="40"/>
              <w:rPr>
                <w:rFonts w:ascii="Calibri" w:hAnsi="Calibri" w:cs="Calibri"/>
              </w:rPr>
            </w:pPr>
            <w:r w:rsidRPr="00602215">
              <w:rPr>
                <w:rFonts w:ascii="Calibri" w:hAnsi="Calibri" w:cs="Calibri"/>
              </w:rPr>
              <w:t>All families of babies with confirmed PCHI are offered a main professional contact to</w:t>
            </w:r>
            <w:r w:rsidR="00602215">
              <w:rPr>
                <w:rFonts w:ascii="Calibri" w:hAnsi="Calibri" w:cs="Calibri"/>
              </w:rPr>
              <w:t>:</w:t>
            </w:r>
          </w:p>
          <w:p w:rsidR="003266CB" w:rsidRPr="00602215" w:rsidRDefault="00ED51B2" w:rsidP="00ED51B2">
            <w:pPr>
              <w:pStyle w:val="BodyText"/>
              <w:spacing w:before="40" w:after="40"/>
              <w:rPr>
                <w:rFonts w:ascii="Calibri" w:hAnsi="Calibri" w:cs="Calibri"/>
              </w:rPr>
            </w:pPr>
            <w:r w:rsidRPr="00602215">
              <w:rPr>
                <w:rFonts w:ascii="Calibri" w:hAnsi="Calibri" w:cs="Calibri"/>
              </w:rPr>
              <w:t>a) provide ongoing regular support</w:t>
            </w:r>
            <w:r w:rsidR="00602215">
              <w:rPr>
                <w:rFonts w:ascii="Calibri" w:hAnsi="Calibri" w:cs="Calibri"/>
              </w:rPr>
              <w:br/>
            </w:r>
            <w:r w:rsidRPr="00602215">
              <w:rPr>
                <w:rFonts w:ascii="Calibri" w:hAnsi="Calibri" w:cs="Calibri"/>
              </w:rPr>
              <w:t>b) ensure a co-ordinated and coherent service</w:t>
            </w:r>
          </w:p>
          <w:p w:rsidR="003266CB" w:rsidRPr="00EF3F35" w:rsidRDefault="003266CB" w:rsidP="00ED51B2">
            <w:pPr>
              <w:pStyle w:val="BodyText"/>
              <w:spacing w:before="40" w:after="40"/>
              <w:rPr>
                <w:rFonts w:ascii="Calibri" w:hAnsi="Calibri" w:cs="Calibri"/>
                <w:highlight w:val="yellow"/>
              </w:rPr>
            </w:pPr>
          </w:p>
          <w:p w:rsidR="003266CB" w:rsidRDefault="003266CB" w:rsidP="00ED51B2">
            <w:pPr>
              <w:pStyle w:val="BodyText"/>
              <w:spacing w:before="40" w:after="40"/>
              <w:rPr>
                <w:rFonts w:ascii="Calibri" w:hAnsi="Calibri" w:cs="Calibri"/>
                <w:highlight w:val="yellow"/>
              </w:rPr>
            </w:pPr>
          </w:p>
          <w:p w:rsidR="00602215" w:rsidRPr="00EF3F35" w:rsidRDefault="00602215" w:rsidP="00ED51B2">
            <w:pPr>
              <w:pStyle w:val="BodyText"/>
              <w:spacing w:before="40" w:after="40"/>
              <w:rPr>
                <w:rFonts w:ascii="Calibri" w:hAnsi="Calibri" w:cs="Calibri"/>
                <w:highlight w:val="yellow"/>
              </w:rPr>
            </w:pPr>
          </w:p>
          <w:p w:rsidR="003266CB" w:rsidRPr="00EF3F35" w:rsidRDefault="003266CB" w:rsidP="00ED51B2">
            <w:pPr>
              <w:pStyle w:val="BodyText"/>
              <w:spacing w:before="40" w:after="40"/>
              <w:rPr>
                <w:rFonts w:ascii="Calibri" w:hAnsi="Calibri" w:cs="Calibri"/>
                <w:highlight w:val="yellow"/>
              </w:rPr>
            </w:pPr>
          </w:p>
        </w:tc>
        <w:tc>
          <w:tcPr>
            <w:tcW w:w="1842" w:type="dxa"/>
          </w:tcPr>
          <w:p w:rsidR="00ED51B2" w:rsidRPr="00602215" w:rsidRDefault="003861C2" w:rsidP="00ED51B2">
            <w:pPr>
              <w:spacing w:before="40" w:after="40"/>
              <w:rPr>
                <w:rFonts w:cs="Calibri"/>
                <w:sz w:val="16"/>
                <w:szCs w:val="16"/>
              </w:rPr>
            </w:pPr>
            <w:r w:rsidRPr="00602215">
              <w:rPr>
                <w:rFonts w:cs="Calibri"/>
                <w:sz w:val="22"/>
                <w:szCs w:val="22"/>
              </w:rPr>
              <w:t>NHS Newborn Hearing Screening Standards, Standard</w:t>
            </w:r>
            <w:r w:rsidR="00ED51B2" w:rsidRPr="00602215">
              <w:rPr>
                <w:rFonts w:cs="Calibri"/>
                <w:sz w:val="22"/>
                <w:szCs w:val="22"/>
              </w:rPr>
              <w:t xml:space="preserve"> 22</w:t>
            </w:r>
            <w:r w:rsidR="00602215" w:rsidRPr="00602215">
              <w:rPr>
                <w:rStyle w:val="FootnoteReference"/>
                <w:rFonts w:cs="Calibri"/>
                <w:sz w:val="22"/>
                <w:szCs w:val="22"/>
              </w:rPr>
              <w:footnoteReference w:id="5"/>
            </w:r>
          </w:p>
        </w:tc>
        <w:tc>
          <w:tcPr>
            <w:tcW w:w="6521" w:type="dxa"/>
          </w:tcPr>
          <w:p w:rsidR="00ED51B2" w:rsidRPr="00EF3F35" w:rsidRDefault="00ED51B2" w:rsidP="00ED51B2">
            <w:pPr>
              <w:spacing w:before="40" w:after="40"/>
              <w:rPr>
                <w:rFonts w:cs="Calibri"/>
                <w:sz w:val="22"/>
                <w:szCs w:val="22"/>
              </w:rPr>
            </w:pPr>
          </w:p>
        </w:tc>
        <w:tc>
          <w:tcPr>
            <w:tcW w:w="1134" w:type="dxa"/>
          </w:tcPr>
          <w:p w:rsidR="00ED51B2" w:rsidRPr="00ED51B2" w:rsidRDefault="00ED51B2" w:rsidP="00ED51B2">
            <w:pPr>
              <w:spacing w:before="40" w:after="40"/>
              <w:jc w:val="center"/>
              <w:rPr>
                <w:rFonts w:cs="Calibri"/>
                <w:sz w:val="22"/>
                <w:szCs w:val="22"/>
              </w:rPr>
            </w:pPr>
          </w:p>
        </w:tc>
      </w:tr>
      <w:tr w:rsidR="00ED51B2" w:rsidRPr="00ED51B2" w:rsidTr="00B56F78">
        <w:tc>
          <w:tcPr>
            <w:tcW w:w="5637" w:type="dxa"/>
            <w:tcBorders>
              <w:bottom w:val="single" w:sz="4" w:space="0" w:color="auto"/>
            </w:tcBorders>
          </w:tcPr>
          <w:p w:rsidR="00ED51B2" w:rsidRPr="00ED51B2" w:rsidRDefault="00ED51B2" w:rsidP="00ED51B2">
            <w:pPr>
              <w:spacing w:before="40" w:after="40"/>
              <w:ind w:left="180" w:hanging="180"/>
              <w:rPr>
                <w:rFonts w:cs="Calibri"/>
                <w:b/>
                <w:sz w:val="22"/>
                <w:szCs w:val="22"/>
              </w:rPr>
            </w:pPr>
            <w:r w:rsidRPr="00ED51B2">
              <w:rPr>
                <w:rFonts w:cs="Calibri"/>
                <w:b/>
                <w:sz w:val="22"/>
                <w:szCs w:val="22"/>
              </w:rPr>
              <w:lastRenderedPageBreak/>
              <w:t>Local Offer – supporting its production and review</w:t>
            </w:r>
          </w:p>
          <w:p w:rsidR="00ED51B2" w:rsidRPr="00ED51B2" w:rsidRDefault="00ED51B2" w:rsidP="00ED51B2">
            <w:pPr>
              <w:spacing w:before="40" w:after="40"/>
              <w:ind w:left="180" w:hanging="180"/>
              <w:rPr>
                <w:rFonts w:cs="Calibri"/>
                <w:sz w:val="22"/>
                <w:szCs w:val="22"/>
              </w:rPr>
            </w:pPr>
            <w:r w:rsidRPr="00ED51B2">
              <w:rPr>
                <w:rFonts w:cs="Calibri"/>
                <w:sz w:val="22"/>
                <w:szCs w:val="22"/>
              </w:rPr>
              <w:t xml:space="preserve">LAs </w:t>
            </w:r>
            <w:r w:rsidRPr="00ED51B2">
              <w:rPr>
                <w:rFonts w:cs="Calibri"/>
                <w:b/>
                <w:bCs/>
                <w:sz w:val="22"/>
                <w:szCs w:val="22"/>
              </w:rPr>
              <w:t>must</w:t>
            </w:r>
            <w:r w:rsidRPr="00ED51B2">
              <w:rPr>
                <w:rFonts w:cs="Calibri"/>
                <w:sz w:val="22"/>
                <w:szCs w:val="22"/>
              </w:rPr>
              <w:t xml:space="preserve"> produce a </w:t>
            </w:r>
            <w:r w:rsidRPr="00ED51B2">
              <w:rPr>
                <w:rFonts w:cs="Calibri"/>
                <w:b/>
                <w:bCs/>
                <w:sz w:val="22"/>
                <w:szCs w:val="22"/>
              </w:rPr>
              <w:t>Local Offer</w:t>
            </w:r>
            <w:r w:rsidRPr="00ED51B2">
              <w:rPr>
                <w:rFonts w:cs="Calibri"/>
                <w:sz w:val="22"/>
                <w:szCs w:val="22"/>
              </w:rPr>
              <w:t xml:space="preserve"> setting out education provision and training</w:t>
            </w:r>
            <w:r w:rsidR="003266CB">
              <w:rPr>
                <w:rFonts w:cs="Calibri"/>
                <w:sz w:val="22"/>
                <w:szCs w:val="22"/>
              </w:rPr>
              <w:t xml:space="preserve">.  It </w:t>
            </w:r>
            <w:r w:rsidRPr="00ED51B2">
              <w:rPr>
                <w:rFonts w:cs="Calibri"/>
                <w:sz w:val="22"/>
                <w:szCs w:val="22"/>
              </w:rPr>
              <w:t>must review it and this includes the sufficiency of provision.</w:t>
            </w:r>
          </w:p>
          <w:p w:rsidR="00ED51B2" w:rsidRPr="00ED51B2" w:rsidRDefault="00ED51B2" w:rsidP="00ED51B2">
            <w:pPr>
              <w:spacing w:before="40" w:after="40"/>
              <w:ind w:left="180" w:hanging="180"/>
              <w:rPr>
                <w:rFonts w:cs="Calibri"/>
                <w:color w:val="000000"/>
                <w:sz w:val="22"/>
                <w:szCs w:val="22"/>
              </w:rPr>
            </w:pPr>
            <w:r w:rsidRPr="00ED51B2">
              <w:rPr>
                <w:rFonts w:cs="Calibri"/>
                <w:color w:val="000000"/>
                <w:sz w:val="22"/>
                <w:szCs w:val="22"/>
              </w:rPr>
              <w:t>4.31 The Local Offer should cover:</w:t>
            </w:r>
          </w:p>
          <w:p w:rsidR="00ED51B2" w:rsidRPr="00ED51B2" w:rsidRDefault="00ED51B2" w:rsidP="00ED51B2">
            <w:pPr>
              <w:spacing w:before="40" w:after="40"/>
              <w:ind w:left="180" w:hanging="180"/>
              <w:rPr>
                <w:rFonts w:cs="Calibri"/>
                <w:color w:val="000000"/>
                <w:sz w:val="22"/>
                <w:szCs w:val="22"/>
              </w:rPr>
            </w:pPr>
            <w:r w:rsidRPr="00ED51B2">
              <w:rPr>
                <w:rFonts w:cs="Calibri"/>
                <w:color w:val="000000"/>
                <w:sz w:val="22"/>
                <w:szCs w:val="22"/>
              </w:rPr>
              <w:t>•</w:t>
            </w:r>
            <w:r>
              <w:rPr>
                <w:rFonts w:cs="Calibri"/>
                <w:color w:val="000000"/>
                <w:sz w:val="22"/>
                <w:szCs w:val="22"/>
              </w:rPr>
              <w:tab/>
            </w:r>
            <w:r w:rsidRPr="00ED51B2">
              <w:rPr>
                <w:rFonts w:cs="Calibri"/>
                <w:color w:val="000000"/>
                <w:sz w:val="22"/>
                <w:szCs w:val="22"/>
              </w:rPr>
              <w:t>support available to all children and young people with SEN or disabilities from universal services such as schools and GPs</w:t>
            </w:r>
          </w:p>
          <w:p w:rsidR="00ED51B2" w:rsidRPr="00ED51B2" w:rsidRDefault="00ED51B2" w:rsidP="00ED51B2">
            <w:pPr>
              <w:spacing w:before="40" w:after="40"/>
              <w:ind w:left="180" w:hanging="180"/>
              <w:rPr>
                <w:rFonts w:cs="Calibri"/>
                <w:b/>
                <w:color w:val="000000"/>
                <w:sz w:val="22"/>
                <w:szCs w:val="22"/>
              </w:rPr>
            </w:pPr>
            <w:r>
              <w:rPr>
                <w:rFonts w:cs="Calibri"/>
                <w:color w:val="000000"/>
                <w:sz w:val="22"/>
                <w:szCs w:val="22"/>
              </w:rPr>
              <w:t>•</w:t>
            </w:r>
            <w:r>
              <w:rPr>
                <w:rFonts w:cs="Calibri"/>
                <w:color w:val="000000"/>
                <w:sz w:val="22"/>
                <w:szCs w:val="22"/>
              </w:rPr>
              <w:tab/>
            </w:r>
            <w:r w:rsidRPr="00ED51B2">
              <w:rPr>
                <w:rFonts w:cs="Calibri"/>
                <w:color w:val="000000"/>
                <w:sz w:val="22"/>
                <w:szCs w:val="22"/>
              </w:rPr>
              <w:t xml:space="preserve">targeted services for children and young people with SEN or disabilities who require additional short-term support </w:t>
            </w:r>
            <w:r w:rsidRPr="00ED51B2">
              <w:rPr>
                <w:rFonts w:cs="Calibri"/>
                <w:b/>
                <w:color w:val="000000"/>
                <w:sz w:val="22"/>
                <w:szCs w:val="22"/>
              </w:rPr>
              <w:t>over and above that provided routinel</w:t>
            </w:r>
            <w:r w:rsidR="002D7EDF">
              <w:rPr>
                <w:rFonts w:cs="Calibri"/>
                <w:b/>
                <w:color w:val="000000"/>
                <w:sz w:val="22"/>
                <w:szCs w:val="22"/>
              </w:rPr>
              <w:t>y as part of universal services</w:t>
            </w:r>
          </w:p>
          <w:p w:rsidR="00ED51B2" w:rsidRPr="00ED51B2" w:rsidRDefault="00ED51B2" w:rsidP="00ED51B2">
            <w:pPr>
              <w:spacing w:before="40" w:after="40"/>
              <w:ind w:left="180" w:hanging="180"/>
              <w:rPr>
                <w:rFonts w:cs="Calibri"/>
                <w:color w:val="000000"/>
                <w:sz w:val="22"/>
                <w:szCs w:val="22"/>
              </w:rPr>
            </w:pPr>
            <w:r w:rsidRPr="00ED51B2">
              <w:rPr>
                <w:rFonts w:cs="Calibri"/>
                <w:b/>
                <w:color w:val="000000"/>
                <w:sz w:val="22"/>
                <w:szCs w:val="22"/>
              </w:rPr>
              <w:t>•</w:t>
            </w:r>
            <w:r>
              <w:rPr>
                <w:rFonts w:cs="Calibri"/>
                <w:b/>
                <w:color w:val="000000"/>
                <w:sz w:val="22"/>
                <w:szCs w:val="22"/>
              </w:rPr>
              <w:tab/>
            </w:r>
            <w:r w:rsidRPr="00ED51B2">
              <w:rPr>
                <w:rFonts w:cs="Calibri"/>
                <w:b/>
                <w:color w:val="000000"/>
                <w:sz w:val="22"/>
                <w:szCs w:val="22"/>
              </w:rPr>
              <w:t xml:space="preserve">specialist services </w:t>
            </w:r>
            <w:r w:rsidRPr="00ED51B2">
              <w:rPr>
                <w:rFonts w:cs="Calibri"/>
                <w:color w:val="000000"/>
                <w:sz w:val="22"/>
                <w:szCs w:val="22"/>
              </w:rPr>
              <w:t>for children and young people with SEN or disabilities who require specialised, longer term support </w:t>
            </w:r>
          </w:p>
          <w:p w:rsidR="00ED51B2" w:rsidRPr="00ED51B2" w:rsidRDefault="00ED51B2" w:rsidP="00ED51B2">
            <w:pPr>
              <w:spacing w:before="40" w:after="40"/>
              <w:ind w:left="180" w:hanging="180"/>
              <w:rPr>
                <w:rFonts w:cs="Calibri"/>
                <w:color w:val="000000"/>
                <w:sz w:val="22"/>
                <w:szCs w:val="22"/>
              </w:rPr>
            </w:pPr>
            <w:r w:rsidRPr="00ED51B2">
              <w:rPr>
                <w:rFonts w:cs="Calibri"/>
                <w:color w:val="000000"/>
                <w:sz w:val="22"/>
                <w:szCs w:val="22"/>
              </w:rPr>
              <w:t>and 4.32</w:t>
            </w:r>
          </w:p>
          <w:p w:rsidR="00ED51B2" w:rsidRPr="00ED51B2" w:rsidRDefault="00ED51B2" w:rsidP="00ED51B2">
            <w:pPr>
              <w:spacing w:before="40" w:after="40"/>
              <w:ind w:left="180" w:hanging="180"/>
              <w:rPr>
                <w:rFonts w:cs="Calibri"/>
                <w:color w:val="000000"/>
                <w:sz w:val="22"/>
                <w:szCs w:val="22"/>
              </w:rPr>
            </w:pPr>
            <w:r>
              <w:rPr>
                <w:rFonts w:cs="Calibri"/>
                <w:color w:val="000000"/>
                <w:sz w:val="22"/>
                <w:szCs w:val="22"/>
              </w:rPr>
              <w:tab/>
            </w:r>
            <w:r w:rsidRPr="00ED51B2">
              <w:rPr>
                <w:rFonts w:cs="Calibri"/>
                <w:color w:val="000000"/>
                <w:sz w:val="22"/>
                <w:szCs w:val="22"/>
              </w:rPr>
              <w:t>and information about: </w:t>
            </w:r>
          </w:p>
          <w:p w:rsidR="00ED51B2" w:rsidRPr="00ED51B2" w:rsidRDefault="00ED51B2" w:rsidP="002B6478">
            <w:pPr>
              <w:spacing w:before="40" w:after="40"/>
              <w:ind w:left="187" w:hanging="187"/>
              <w:rPr>
                <w:rFonts w:cs="Calibri"/>
                <w:color w:val="000000"/>
                <w:sz w:val="22"/>
                <w:szCs w:val="22"/>
              </w:rPr>
            </w:pPr>
            <w:r w:rsidRPr="00ED51B2">
              <w:rPr>
                <w:rFonts w:cs="Calibri"/>
                <w:color w:val="000000"/>
                <w:sz w:val="22"/>
                <w:szCs w:val="22"/>
              </w:rPr>
              <w:t>•</w:t>
            </w:r>
            <w:r>
              <w:rPr>
                <w:rFonts w:cs="Calibri"/>
                <w:color w:val="000000"/>
                <w:sz w:val="22"/>
                <w:szCs w:val="22"/>
              </w:rPr>
              <w:tab/>
            </w:r>
            <w:r w:rsidRPr="00ED51B2">
              <w:rPr>
                <w:rFonts w:cs="Calibri"/>
                <w:color w:val="000000"/>
                <w:sz w:val="22"/>
                <w:szCs w:val="22"/>
              </w:rPr>
              <w:t>approaches to teaching, adaptations to the curriculum and the learning environment  for children and young people with SEN or disabilities and additional learning support for those with SEN </w:t>
            </w:r>
          </w:p>
          <w:p w:rsidR="00ED51B2" w:rsidRDefault="00ED51B2" w:rsidP="00ED51B2">
            <w:pPr>
              <w:spacing w:before="40" w:after="40"/>
              <w:ind w:left="180" w:hanging="180"/>
              <w:rPr>
                <w:rFonts w:cs="Calibri"/>
                <w:color w:val="000000"/>
                <w:sz w:val="22"/>
                <w:szCs w:val="22"/>
              </w:rPr>
            </w:pPr>
            <w:r w:rsidRPr="00ED51B2">
              <w:rPr>
                <w:rFonts w:cs="Calibri"/>
                <w:color w:val="000000"/>
                <w:sz w:val="22"/>
                <w:szCs w:val="22"/>
              </w:rPr>
              <w:t>•</w:t>
            </w:r>
            <w:r>
              <w:rPr>
                <w:rFonts w:cs="Calibri"/>
                <w:color w:val="000000"/>
                <w:sz w:val="22"/>
                <w:szCs w:val="22"/>
              </w:rPr>
              <w:tab/>
            </w:r>
            <w:r w:rsidRPr="00ED51B2">
              <w:rPr>
                <w:rFonts w:cs="Calibri"/>
                <w:color w:val="000000"/>
                <w:sz w:val="22"/>
                <w:szCs w:val="22"/>
              </w:rPr>
              <w:t>enabling available facilities to be accessed by disabled children and young people and those with SEN (this should include ancillary aids and assistive technology, including Augmentative and Alternative Communication (AAC)</w:t>
            </w:r>
            <w:r w:rsidR="002B6478">
              <w:rPr>
                <w:rFonts w:cs="Calibri"/>
                <w:color w:val="000000"/>
                <w:sz w:val="22"/>
                <w:szCs w:val="22"/>
              </w:rPr>
              <w:t>)</w:t>
            </w:r>
          </w:p>
          <w:p w:rsidR="00ED51B2" w:rsidRPr="00ED51B2" w:rsidRDefault="002D7EDF" w:rsidP="00ED51B2">
            <w:pPr>
              <w:spacing w:before="40" w:after="40"/>
              <w:ind w:left="180" w:hanging="180"/>
              <w:rPr>
                <w:rFonts w:cs="Calibri"/>
                <w:color w:val="000000"/>
                <w:sz w:val="22"/>
                <w:szCs w:val="22"/>
              </w:rPr>
            </w:pPr>
            <w:r w:rsidRPr="00ED51B2">
              <w:rPr>
                <w:rFonts w:cs="Calibri"/>
                <w:color w:val="000000"/>
                <w:sz w:val="22"/>
                <w:szCs w:val="22"/>
              </w:rPr>
              <w:t>•</w:t>
            </w:r>
            <w:r>
              <w:rPr>
                <w:rFonts w:cs="Calibri"/>
                <w:color w:val="000000"/>
                <w:sz w:val="22"/>
                <w:szCs w:val="22"/>
              </w:rPr>
              <w:tab/>
            </w:r>
            <w:r w:rsidR="00ED51B2" w:rsidRPr="00ED51B2">
              <w:rPr>
                <w:rFonts w:cs="Calibri"/>
                <w:color w:val="000000"/>
                <w:sz w:val="22"/>
                <w:szCs w:val="22"/>
              </w:rPr>
              <w:t>securing expertise among teachers, lecturers or other professionals to support children and young people with SEN or disabilities – this should include professional development to secure expertise at different levels:</w:t>
            </w:r>
          </w:p>
          <w:p w:rsidR="002B6478" w:rsidRDefault="00ED51B2" w:rsidP="00ED51B2">
            <w:pPr>
              <w:spacing w:before="40" w:after="40"/>
              <w:ind w:left="180" w:hanging="180"/>
              <w:rPr>
                <w:rFonts w:cs="Calibri"/>
                <w:color w:val="000000"/>
                <w:sz w:val="22"/>
                <w:szCs w:val="22"/>
              </w:rPr>
            </w:pPr>
            <w:r w:rsidRPr="00ED51B2">
              <w:rPr>
                <w:rFonts w:cs="Calibri"/>
                <w:color w:val="000000"/>
                <w:sz w:val="22"/>
                <w:szCs w:val="22"/>
              </w:rPr>
              <w:t>•</w:t>
            </w:r>
            <w:r>
              <w:rPr>
                <w:rFonts w:cs="Calibri"/>
                <w:color w:val="000000"/>
                <w:sz w:val="22"/>
                <w:szCs w:val="22"/>
              </w:rPr>
              <w:tab/>
            </w:r>
            <w:r w:rsidRPr="00ED51B2">
              <w:rPr>
                <w:rFonts w:cs="Calibri"/>
                <w:color w:val="000000"/>
                <w:sz w:val="22"/>
                <w:szCs w:val="22"/>
              </w:rPr>
              <w:t xml:space="preserve">awareness (to give a basic awareness of a particular type </w:t>
            </w:r>
            <w:r w:rsidRPr="00ED51B2">
              <w:rPr>
                <w:rFonts w:cs="Calibri"/>
                <w:color w:val="000000"/>
                <w:sz w:val="22"/>
                <w:szCs w:val="22"/>
              </w:rPr>
              <w:lastRenderedPageBreak/>
              <w:t xml:space="preserve">of SEN, appropriate for all staff who will come into contact with a child or young person with that type of SEN) </w:t>
            </w:r>
          </w:p>
          <w:p w:rsidR="00ED51B2" w:rsidRPr="00ED51B2" w:rsidRDefault="002B6478" w:rsidP="00ED51B2">
            <w:pPr>
              <w:spacing w:before="40" w:after="40"/>
              <w:ind w:left="180" w:hanging="180"/>
              <w:rPr>
                <w:rFonts w:cs="Calibri"/>
                <w:color w:val="000000"/>
                <w:sz w:val="22"/>
                <w:szCs w:val="22"/>
              </w:rPr>
            </w:pPr>
            <w:r w:rsidRPr="00ED51B2">
              <w:rPr>
                <w:rFonts w:cs="Calibri"/>
                <w:color w:val="000000"/>
                <w:sz w:val="22"/>
                <w:szCs w:val="22"/>
              </w:rPr>
              <w:t>•</w:t>
            </w:r>
            <w:r>
              <w:rPr>
                <w:rFonts w:cs="Calibri"/>
                <w:color w:val="000000"/>
                <w:sz w:val="22"/>
                <w:szCs w:val="22"/>
              </w:rPr>
              <w:tab/>
            </w:r>
            <w:r w:rsidR="00ED51B2" w:rsidRPr="00ED51B2">
              <w:rPr>
                <w:rFonts w:cs="Calibri"/>
                <w:color w:val="000000"/>
                <w:sz w:val="22"/>
                <w:szCs w:val="22"/>
              </w:rPr>
              <w:t xml:space="preserve">enhanced (how to adapt teaching and learning to meet a particular type of SEN, for early years practitioners, class and subject teachers/lecturers and teaching assistants working directly with the child or young person on a regular basis), and </w:t>
            </w:r>
          </w:p>
          <w:p w:rsidR="00ED51B2" w:rsidRPr="00ED51B2" w:rsidRDefault="003266CB" w:rsidP="00ED51B2">
            <w:pPr>
              <w:spacing w:before="40" w:after="40"/>
              <w:ind w:left="180" w:hanging="180"/>
              <w:rPr>
                <w:rFonts w:cs="Calibri"/>
                <w:b/>
                <w:color w:val="000000"/>
                <w:sz w:val="22"/>
                <w:szCs w:val="22"/>
              </w:rPr>
            </w:pPr>
            <w:r w:rsidRPr="00ED51B2">
              <w:rPr>
                <w:rFonts w:cs="Calibri"/>
                <w:color w:val="000000"/>
                <w:sz w:val="22"/>
                <w:szCs w:val="22"/>
              </w:rPr>
              <w:t>•</w:t>
            </w:r>
            <w:r>
              <w:rPr>
                <w:rFonts w:cs="Calibri"/>
                <w:color w:val="000000"/>
                <w:sz w:val="22"/>
                <w:szCs w:val="22"/>
              </w:rPr>
              <w:tab/>
            </w:r>
            <w:r w:rsidR="00ED51B2" w:rsidRPr="00ED51B2">
              <w:rPr>
                <w:rFonts w:cs="Calibri"/>
                <w:b/>
                <w:color w:val="000000"/>
                <w:sz w:val="22"/>
                <w:szCs w:val="22"/>
              </w:rPr>
              <w:t>specialist (in-depth training about a particular type of SEN for staff that will be advising and supporting those with enhanced-level skills and knowledge).</w:t>
            </w:r>
          </w:p>
          <w:p w:rsidR="00ED51B2" w:rsidRPr="00ED51B2" w:rsidRDefault="003266CB" w:rsidP="003266CB">
            <w:pPr>
              <w:spacing w:before="40" w:after="40"/>
              <w:ind w:left="180" w:hanging="180"/>
              <w:rPr>
                <w:rFonts w:cs="Calibri"/>
                <w:sz w:val="22"/>
                <w:szCs w:val="22"/>
              </w:rPr>
            </w:pPr>
            <w:r>
              <w:rPr>
                <w:rFonts w:cs="Calibri"/>
                <w:color w:val="000000"/>
                <w:sz w:val="22"/>
                <w:szCs w:val="22"/>
              </w:rPr>
              <w:tab/>
            </w:r>
            <w:r w:rsidR="00ED51B2" w:rsidRPr="00ED51B2">
              <w:rPr>
                <w:rFonts w:cs="Calibri"/>
                <w:color w:val="000000"/>
                <w:sz w:val="22"/>
                <w:szCs w:val="22"/>
              </w:rPr>
              <w:t>Support service</w:t>
            </w:r>
            <w:r w:rsidR="002B6478">
              <w:rPr>
                <w:rFonts w:cs="Calibri"/>
                <w:color w:val="000000"/>
                <w:sz w:val="22"/>
                <w:szCs w:val="22"/>
              </w:rPr>
              <w:t>s</w:t>
            </w:r>
            <w:r w:rsidR="00ED51B2" w:rsidRPr="00ED51B2">
              <w:rPr>
                <w:rFonts w:cs="Calibri"/>
                <w:color w:val="000000"/>
                <w:sz w:val="22"/>
                <w:szCs w:val="22"/>
              </w:rPr>
              <w:t xml:space="preserve"> have a role in saying both what they do in contributing towards that offer and ensuring that parents can access</w:t>
            </w:r>
            <w:r w:rsidR="002B6478">
              <w:rPr>
                <w:rFonts w:cs="Calibri"/>
                <w:color w:val="000000"/>
                <w:sz w:val="22"/>
                <w:szCs w:val="22"/>
              </w:rPr>
              <w:t xml:space="preserve"> it</w:t>
            </w:r>
            <w:r w:rsidR="00ED51B2" w:rsidRPr="00ED51B2">
              <w:rPr>
                <w:rFonts w:cs="Calibri"/>
                <w:color w:val="000000"/>
                <w:sz w:val="22"/>
                <w:szCs w:val="22"/>
              </w:rPr>
              <w:t>.</w:t>
            </w:r>
          </w:p>
        </w:tc>
        <w:tc>
          <w:tcPr>
            <w:tcW w:w="1842" w:type="dxa"/>
          </w:tcPr>
          <w:p w:rsidR="00ED51B2" w:rsidRDefault="00ED51B2" w:rsidP="00ED51B2">
            <w:pPr>
              <w:spacing w:before="40" w:after="40"/>
              <w:rPr>
                <w:rFonts w:cs="Calibri"/>
                <w:sz w:val="22"/>
                <w:szCs w:val="22"/>
              </w:rPr>
            </w:pPr>
            <w:r w:rsidRPr="00ED51B2">
              <w:rPr>
                <w:rFonts w:cs="Calibri"/>
                <w:sz w:val="22"/>
                <w:szCs w:val="22"/>
              </w:rPr>
              <w:lastRenderedPageBreak/>
              <w:t>CFA 2014</w:t>
            </w:r>
            <w:r w:rsidR="002D7EDF">
              <w:rPr>
                <w:rFonts w:cs="Calibri"/>
                <w:sz w:val="22"/>
                <w:szCs w:val="22"/>
              </w:rPr>
              <w:t>,</w:t>
            </w:r>
            <w:r w:rsidR="002D7EDF">
              <w:rPr>
                <w:rFonts w:cs="Calibri"/>
                <w:sz w:val="22"/>
                <w:szCs w:val="22"/>
              </w:rPr>
              <w:br/>
            </w:r>
            <w:r w:rsidRPr="00ED51B2">
              <w:rPr>
                <w:rFonts w:cs="Calibri"/>
                <w:sz w:val="22"/>
                <w:szCs w:val="22"/>
              </w:rPr>
              <w:t>Section 30</w:t>
            </w:r>
          </w:p>
          <w:p w:rsidR="002B6478" w:rsidRPr="00ED51B2" w:rsidRDefault="002B6478" w:rsidP="00ED51B2">
            <w:pPr>
              <w:spacing w:before="40" w:after="40"/>
              <w:rPr>
                <w:rFonts w:cs="Calibri"/>
                <w:sz w:val="22"/>
                <w:szCs w:val="22"/>
              </w:rPr>
            </w:pPr>
          </w:p>
          <w:p w:rsidR="00ED51B2" w:rsidRPr="00ED51B2" w:rsidRDefault="002D7EDF" w:rsidP="002B6478">
            <w:pPr>
              <w:spacing w:before="40" w:after="40"/>
              <w:rPr>
                <w:rFonts w:cs="Calibri"/>
                <w:sz w:val="22"/>
                <w:szCs w:val="22"/>
              </w:rPr>
            </w:pPr>
            <w:r>
              <w:rPr>
                <w:rFonts w:cs="Calibri"/>
                <w:sz w:val="22"/>
                <w:szCs w:val="22"/>
              </w:rPr>
              <w:t xml:space="preserve">SEND CoP 2015, </w:t>
            </w:r>
            <w:r w:rsidR="00ED51B2" w:rsidRPr="00ED51B2">
              <w:rPr>
                <w:rFonts w:cs="Calibri"/>
                <w:sz w:val="22"/>
                <w:szCs w:val="22"/>
              </w:rPr>
              <w:t>Para</w:t>
            </w:r>
            <w:r>
              <w:rPr>
                <w:rFonts w:cs="Calibri"/>
                <w:sz w:val="22"/>
                <w:szCs w:val="22"/>
              </w:rPr>
              <w:t>s 4</w:t>
            </w:r>
            <w:r w:rsidR="00ED51B2" w:rsidRPr="00ED51B2">
              <w:rPr>
                <w:rFonts w:cs="Calibri"/>
                <w:sz w:val="22"/>
                <w:szCs w:val="22"/>
              </w:rPr>
              <w:t>.18,</w:t>
            </w:r>
            <w:r>
              <w:rPr>
                <w:rFonts w:cs="Calibri"/>
                <w:sz w:val="22"/>
                <w:szCs w:val="22"/>
              </w:rPr>
              <w:t xml:space="preserve"> </w:t>
            </w:r>
            <w:r w:rsidR="00ED51B2" w:rsidRPr="00ED51B2">
              <w:rPr>
                <w:rFonts w:cs="Calibri"/>
                <w:sz w:val="22"/>
                <w:szCs w:val="22"/>
              </w:rPr>
              <w:t>4.31</w:t>
            </w:r>
            <w:r w:rsidR="002B6478">
              <w:rPr>
                <w:rFonts w:cs="Calibri"/>
                <w:sz w:val="22"/>
                <w:szCs w:val="22"/>
              </w:rPr>
              <w:t xml:space="preserve"> and</w:t>
            </w:r>
            <w:r>
              <w:rPr>
                <w:rFonts w:cs="Calibri"/>
                <w:sz w:val="22"/>
                <w:szCs w:val="22"/>
              </w:rPr>
              <w:t xml:space="preserve"> </w:t>
            </w:r>
            <w:r w:rsidR="00ED51B2" w:rsidRPr="00ED51B2">
              <w:rPr>
                <w:rFonts w:cs="Calibri"/>
                <w:sz w:val="22"/>
                <w:szCs w:val="22"/>
              </w:rPr>
              <w:t>4.32</w:t>
            </w:r>
          </w:p>
        </w:tc>
        <w:tc>
          <w:tcPr>
            <w:tcW w:w="6521" w:type="dxa"/>
          </w:tcPr>
          <w:p w:rsidR="00ED51B2" w:rsidRPr="00ED51B2" w:rsidRDefault="00ED51B2" w:rsidP="00ED51B2">
            <w:pPr>
              <w:spacing w:before="40" w:after="40"/>
              <w:rPr>
                <w:rFonts w:cs="Calibri"/>
                <w:sz w:val="22"/>
                <w:szCs w:val="22"/>
              </w:rPr>
            </w:pPr>
          </w:p>
        </w:tc>
        <w:tc>
          <w:tcPr>
            <w:tcW w:w="1134" w:type="dxa"/>
          </w:tcPr>
          <w:p w:rsidR="00ED51B2" w:rsidRPr="00ED51B2" w:rsidRDefault="00ED51B2" w:rsidP="00ED51B2">
            <w:pPr>
              <w:spacing w:before="40" w:after="40"/>
              <w:jc w:val="center"/>
              <w:rPr>
                <w:rFonts w:cs="Calibri"/>
                <w:sz w:val="22"/>
                <w:szCs w:val="22"/>
              </w:rPr>
            </w:pPr>
          </w:p>
        </w:tc>
      </w:tr>
      <w:tr w:rsidR="00A9702F" w:rsidRPr="00ED51B2" w:rsidTr="00B56F78">
        <w:tc>
          <w:tcPr>
            <w:tcW w:w="5637" w:type="dxa"/>
            <w:tcBorders>
              <w:bottom w:val="nil"/>
            </w:tcBorders>
          </w:tcPr>
          <w:p w:rsidR="00A9702F" w:rsidRPr="00ED51B2" w:rsidRDefault="00A9702F" w:rsidP="00A9702F">
            <w:pPr>
              <w:spacing w:before="40" w:after="40"/>
              <w:rPr>
                <w:rFonts w:cs="Calibri"/>
                <w:b/>
                <w:sz w:val="22"/>
                <w:szCs w:val="22"/>
              </w:rPr>
            </w:pPr>
            <w:r w:rsidRPr="00ED51B2">
              <w:rPr>
                <w:rFonts w:cs="Calibri"/>
                <w:b/>
                <w:sz w:val="22"/>
                <w:szCs w:val="22"/>
              </w:rPr>
              <w:lastRenderedPageBreak/>
              <w:t>Supporting Integration</w:t>
            </w:r>
          </w:p>
          <w:p w:rsidR="00A9702F" w:rsidRPr="00ED51B2" w:rsidRDefault="00A9702F" w:rsidP="00A9702F">
            <w:pPr>
              <w:spacing w:before="40" w:after="40"/>
              <w:rPr>
                <w:rFonts w:cs="Calibri"/>
                <w:sz w:val="22"/>
                <w:szCs w:val="22"/>
              </w:rPr>
            </w:pPr>
            <w:r w:rsidRPr="00ED51B2">
              <w:rPr>
                <w:rFonts w:cs="Calibri"/>
                <w:sz w:val="22"/>
                <w:szCs w:val="22"/>
              </w:rPr>
              <w:t>A</w:t>
            </w:r>
            <w:r w:rsidR="002B6478">
              <w:rPr>
                <w:rFonts w:cs="Calibri"/>
                <w:sz w:val="22"/>
                <w:szCs w:val="22"/>
              </w:rPr>
              <w:t>n</w:t>
            </w:r>
            <w:r w:rsidRPr="00ED51B2">
              <w:rPr>
                <w:rFonts w:cs="Calibri"/>
                <w:sz w:val="22"/>
                <w:szCs w:val="22"/>
              </w:rPr>
              <w:t xml:space="preserve"> LA </w:t>
            </w:r>
            <w:r w:rsidRPr="002B6478">
              <w:rPr>
                <w:rFonts w:cs="Calibri"/>
                <w:b/>
                <w:bCs/>
                <w:sz w:val="22"/>
                <w:szCs w:val="22"/>
              </w:rPr>
              <w:t>must</w:t>
            </w:r>
            <w:r w:rsidRPr="00ED51B2">
              <w:rPr>
                <w:rFonts w:cs="Calibri"/>
                <w:sz w:val="22"/>
                <w:szCs w:val="22"/>
              </w:rPr>
              <w:t xml:space="preserve"> exercise its SEND functions with a view to ensuring the integration of healthcare and social care provision where it thinks it would:</w:t>
            </w:r>
          </w:p>
          <w:p w:rsidR="002B6478" w:rsidRDefault="00A9702F" w:rsidP="00A9702F">
            <w:pPr>
              <w:numPr>
                <w:ilvl w:val="0"/>
                <w:numId w:val="34"/>
              </w:numPr>
              <w:tabs>
                <w:tab w:val="clear" w:pos="720"/>
              </w:tabs>
              <w:spacing w:before="40" w:after="40"/>
              <w:ind w:left="180" w:hanging="180"/>
              <w:rPr>
                <w:rFonts w:cs="Calibri"/>
                <w:sz w:val="22"/>
                <w:szCs w:val="22"/>
              </w:rPr>
            </w:pPr>
            <w:r w:rsidRPr="00ED51B2">
              <w:rPr>
                <w:rFonts w:cs="Calibri"/>
                <w:sz w:val="22"/>
                <w:szCs w:val="22"/>
              </w:rPr>
              <w:t>promote the welfare of CYP with SEND</w:t>
            </w:r>
          </w:p>
          <w:p w:rsidR="00A9702F" w:rsidRPr="002B6478" w:rsidRDefault="002B6478" w:rsidP="00A9702F">
            <w:pPr>
              <w:numPr>
                <w:ilvl w:val="0"/>
                <w:numId w:val="34"/>
              </w:numPr>
              <w:tabs>
                <w:tab w:val="clear" w:pos="720"/>
              </w:tabs>
              <w:spacing w:before="40" w:after="40"/>
              <w:ind w:left="180" w:hanging="180"/>
              <w:rPr>
                <w:rFonts w:cs="Calibri"/>
                <w:sz w:val="22"/>
                <w:szCs w:val="22"/>
              </w:rPr>
            </w:pPr>
            <w:r>
              <w:rPr>
                <w:rFonts w:cs="Calibri"/>
                <w:sz w:val="22"/>
                <w:szCs w:val="22"/>
              </w:rPr>
              <w:t>i</w:t>
            </w:r>
            <w:r w:rsidR="00A9702F" w:rsidRPr="002B6478">
              <w:rPr>
                <w:rFonts w:cs="Calibri"/>
                <w:sz w:val="22"/>
                <w:szCs w:val="22"/>
              </w:rPr>
              <w:t>mprove the quality of SEND provision</w:t>
            </w:r>
          </w:p>
        </w:tc>
        <w:tc>
          <w:tcPr>
            <w:tcW w:w="1842" w:type="dxa"/>
          </w:tcPr>
          <w:p w:rsidR="00A9702F" w:rsidRPr="00ED51B2" w:rsidRDefault="00A9702F" w:rsidP="00A9702F">
            <w:pPr>
              <w:spacing w:before="40" w:after="40"/>
              <w:rPr>
                <w:rFonts w:cs="Calibri"/>
                <w:sz w:val="22"/>
                <w:szCs w:val="22"/>
              </w:rPr>
            </w:pPr>
            <w:r w:rsidRPr="00ED51B2">
              <w:rPr>
                <w:rFonts w:cs="Calibri"/>
                <w:sz w:val="22"/>
                <w:szCs w:val="22"/>
              </w:rPr>
              <w:t>CFA 2014</w:t>
            </w:r>
          </w:p>
          <w:p w:rsidR="00A9702F" w:rsidRPr="00ED51B2" w:rsidRDefault="00A9702F" w:rsidP="00A9702F">
            <w:pPr>
              <w:spacing w:before="40" w:after="40"/>
              <w:rPr>
                <w:rFonts w:cs="Calibri"/>
                <w:sz w:val="22"/>
                <w:szCs w:val="22"/>
              </w:rPr>
            </w:pPr>
            <w:r w:rsidRPr="00ED51B2">
              <w:rPr>
                <w:rFonts w:cs="Calibri"/>
                <w:sz w:val="22"/>
                <w:szCs w:val="22"/>
              </w:rPr>
              <w:t>Section</w:t>
            </w:r>
            <w:r w:rsidR="002B6478">
              <w:rPr>
                <w:rFonts w:cs="Calibri"/>
                <w:sz w:val="22"/>
                <w:szCs w:val="22"/>
              </w:rPr>
              <w:t xml:space="preserve"> </w:t>
            </w:r>
            <w:r w:rsidRPr="00ED51B2">
              <w:rPr>
                <w:rFonts w:cs="Calibri"/>
                <w:sz w:val="22"/>
                <w:szCs w:val="22"/>
              </w:rPr>
              <w:t>25</w:t>
            </w:r>
          </w:p>
        </w:tc>
        <w:tc>
          <w:tcPr>
            <w:tcW w:w="6521" w:type="dxa"/>
          </w:tcPr>
          <w:p w:rsidR="00A9702F" w:rsidRPr="00ED51B2" w:rsidRDefault="00A9702F" w:rsidP="00ED51B2">
            <w:pPr>
              <w:spacing w:before="40" w:after="40"/>
              <w:rPr>
                <w:rFonts w:cs="Calibri"/>
                <w:sz w:val="22"/>
                <w:szCs w:val="22"/>
              </w:rPr>
            </w:pPr>
          </w:p>
        </w:tc>
        <w:tc>
          <w:tcPr>
            <w:tcW w:w="1134" w:type="dxa"/>
          </w:tcPr>
          <w:p w:rsidR="00A9702F" w:rsidRPr="00ED51B2" w:rsidRDefault="00A9702F" w:rsidP="00ED51B2">
            <w:pPr>
              <w:spacing w:before="40" w:after="40"/>
              <w:jc w:val="center"/>
              <w:rPr>
                <w:rFonts w:cs="Calibri"/>
                <w:sz w:val="22"/>
                <w:szCs w:val="22"/>
              </w:rPr>
            </w:pPr>
          </w:p>
        </w:tc>
      </w:tr>
      <w:tr w:rsidR="00A9702F" w:rsidRPr="00ED51B2" w:rsidTr="00FC062C">
        <w:tc>
          <w:tcPr>
            <w:tcW w:w="5637" w:type="dxa"/>
            <w:tcBorders>
              <w:bottom w:val="single" w:sz="4" w:space="0" w:color="auto"/>
            </w:tcBorders>
          </w:tcPr>
          <w:p w:rsidR="00A9702F" w:rsidRPr="00ED51B2" w:rsidRDefault="00A9702F" w:rsidP="00A9702F">
            <w:pPr>
              <w:spacing w:before="40" w:after="40"/>
              <w:rPr>
                <w:rFonts w:cs="Calibri"/>
                <w:sz w:val="22"/>
                <w:szCs w:val="22"/>
              </w:rPr>
            </w:pPr>
            <w:r w:rsidRPr="00ED51B2">
              <w:rPr>
                <w:rFonts w:cs="Calibri"/>
                <w:sz w:val="22"/>
                <w:szCs w:val="22"/>
              </w:rPr>
              <w:t>Partners should consider how an integrated approach can best support:</w:t>
            </w:r>
          </w:p>
          <w:p w:rsidR="00A9702F" w:rsidRPr="00ED51B2" w:rsidRDefault="002B6478" w:rsidP="002B6478">
            <w:pPr>
              <w:numPr>
                <w:ilvl w:val="0"/>
                <w:numId w:val="34"/>
              </w:numPr>
              <w:tabs>
                <w:tab w:val="clear" w:pos="720"/>
              </w:tabs>
              <w:spacing w:before="40" w:after="40"/>
              <w:ind w:left="180" w:hanging="180"/>
              <w:rPr>
                <w:rFonts w:cs="Calibri"/>
                <w:sz w:val="22"/>
                <w:szCs w:val="22"/>
              </w:rPr>
            </w:pPr>
            <w:r>
              <w:rPr>
                <w:rFonts w:cs="Calibri"/>
                <w:sz w:val="22"/>
                <w:szCs w:val="22"/>
              </w:rPr>
              <w:t>p</w:t>
            </w:r>
            <w:r w:rsidR="00A9702F" w:rsidRPr="00ED51B2">
              <w:rPr>
                <w:rFonts w:cs="Calibri"/>
                <w:sz w:val="22"/>
                <w:szCs w:val="22"/>
              </w:rPr>
              <w:t>revention to reduce the need for specialist support later on</w:t>
            </w:r>
          </w:p>
          <w:p w:rsidR="00A9702F" w:rsidRPr="00ED51B2" w:rsidRDefault="002B6478" w:rsidP="002B6478">
            <w:pPr>
              <w:numPr>
                <w:ilvl w:val="0"/>
                <w:numId w:val="34"/>
              </w:numPr>
              <w:tabs>
                <w:tab w:val="clear" w:pos="720"/>
              </w:tabs>
              <w:spacing w:before="40" w:after="40"/>
              <w:ind w:left="180" w:hanging="180"/>
              <w:rPr>
                <w:rFonts w:cs="Calibri"/>
                <w:sz w:val="22"/>
                <w:szCs w:val="22"/>
              </w:rPr>
            </w:pPr>
            <w:r>
              <w:rPr>
                <w:rFonts w:cs="Calibri"/>
                <w:sz w:val="22"/>
                <w:szCs w:val="22"/>
              </w:rPr>
              <w:t>e</w:t>
            </w:r>
            <w:r w:rsidR="00A9702F" w:rsidRPr="00ED51B2">
              <w:rPr>
                <w:rFonts w:cs="Calibri"/>
                <w:sz w:val="22"/>
                <w:szCs w:val="22"/>
              </w:rPr>
              <w:t>arly identification</w:t>
            </w:r>
          </w:p>
          <w:p w:rsidR="00A9702F" w:rsidRPr="00ED51B2" w:rsidRDefault="002B6478" w:rsidP="002B6478">
            <w:pPr>
              <w:numPr>
                <w:ilvl w:val="0"/>
                <w:numId w:val="34"/>
              </w:numPr>
              <w:tabs>
                <w:tab w:val="clear" w:pos="720"/>
              </w:tabs>
              <w:spacing w:before="40" w:after="40"/>
              <w:ind w:left="180" w:hanging="180"/>
              <w:rPr>
                <w:rFonts w:cs="Calibri"/>
                <w:sz w:val="22"/>
                <w:szCs w:val="22"/>
              </w:rPr>
            </w:pPr>
            <w:r>
              <w:rPr>
                <w:rFonts w:cs="Calibri"/>
                <w:sz w:val="22"/>
                <w:szCs w:val="22"/>
              </w:rPr>
              <w:t>b</w:t>
            </w:r>
            <w:r w:rsidR="00A9702F" w:rsidRPr="00ED51B2">
              <w:rPr>
                <w:rFonts w:cs="Calibri"/>
                <w:sz w:val="22"/>
                <w:szCs w:val="22"/>
              </w:rPr>
              <w:t>etter access to services</w:t>
            </w:r>
          </w:p>
          <w:p w:rsidR="00A9702F" w:rsidRPr="00ED51B2" w:rsidRDefault="002B6478" w:rsidP="002B6478">
            <w:pPr>
              <w:numPr>
                <w:ilvl w:val="0"/>
                <w:numId w:val="34"/>
              </w:numPr>
              <w:tabs>
                <w:tab w:val="clear" w:pos="720"/>
              </w:tabs>
              <w:spacing w:before="40" w:after="40"/>
              <w:ind w:left="180" w:hanging="180"/>
              <w:rPr>
                <w:rFonts w:cs="Calibri"/>
                <w:sz w:val="22"/>
                <w:szCs w:val="22"/>
              </w:rPr>
            </w:pPr>
            <w:r>
              <w:rPr>
                <w:rFonts w:cs="Calibri"/>
                <w:sz w:val="22"/>
                <w:szCs w:val="22"/>
              </w:rPr>
              <w:t>g</w:t>
            </w:r>
            <w:r w:rsidR="00A9702F" w:rsidRPr="00ED51B2">
              <w:rPr>
                <w:rFonts w:cs="Calibri"/>
                <w:sz w:val="22"/>
                <w:szCs w:val="22"/>
              </w:rPr>
              <w:t>ood language</w:t>
            </w:r>
          </w:p>
        </w:tc>
        <w:tc>
          <w:tcPr>
            <w:tcW w:w="1842" w:type="dxa"/>
            <w:tcBorders>
              <w:bottom w:val="single" w:sz="4" w:space="0" w:color="auto"/>
            </w:tcBorders>
          </w:tcPr>
          <w:p w:rsidR="00A9702F" w:rsidRPr="00ED51B2" w:rsidRDefault="002B6478" w:rsidP="00A9702F">
            <w:pPr>
              <w:spacing w:before="40" w:after="40"/>
              <w:rPr>
                <w:rFonts w:cs="Calibri"/>
                <w:sz w:val="22"/>
                <w:szCs w:val="22"/>
              </w:rPr>
            </w:pPr>
            <w:r>
              <w:rPr>
                <w:rFonts w:cs="Calibri"/>
                <w:sz w:val="22"/>
                <w:szCs w:val="22"/>
              </w:rPr>
              <w:t>SEND CoP 2015,</w:t>
            </w:r>
          </w:p>
          <w:p w:rsidR="00A9702F" w:rsidRPr="00ED51B2" w:rsidRDefault="00A9702F" w:rsidP="00A9702F">
            <w:pPr>
              <w:spacing w:before="40" w:after="40"/>
              <w:rPr>
                <w:rFonts w:cs="Calibri"/>
                <w:sz w:val="22"/>
                <w:szCs w:val="22"/>
              </w:rPr>
            </w:pPr>
            <w:r w:rsidRPr="00ED51B2">
              <w:rPr>
                <w:rFonts w:cs="Calibri"/>
                <w:sz w:val="22"/>
                <w:szCs w:val="22"/>
              </w:rPr>
              <w:t>Para 3.37</w:t>
            </w:r>
          </w:p>
        </w:tc>
        <w:tc>
          <w:tcPr>
            <w:tcW w:w="6521" w:type="dxa"/>
            <w:tcBorders>
              <w:bottom w:val="single" w:sz="4" w:space="0" w:color="auto"/>
            </w:tcBorders>
          </w:tcPr>
          <w:p w:rsidR="00A9702F" w:rsidRPr="00ED51B2" w:rsidRDefault="00A9702F" w:rsidP="00ED51B2">
            <w:pPr>
              <w:spacing w:before="40" w:after="40"/>
              <w:rPr>
                <w:rFonts w:cs="Calibri"/>
                <w:sz w:val="22"/>
                <w:szCs w:val="22"/>
              </w:rPr>
            </w:pPr>
          </w:p>
        </w:tc>
        <w:tc>
          <w:tcPr>
            <w:tcW w:w="1134" w:type="dxa"/>
            <w:tcBorders>
              <w:bottom w:val="single" w:sz="4" w:space="0" w:color="auto"/>
            </w:tcBorders>
          </w:tcPr>
          <w:p w:rsidR="00A9702F" w:rsidRPr="00ED51B2" w:rsidRDefault="00A9702F" w:rsidP="00ED51B2">
            <w:pPr>
              <w:spacing w:before="40" w:after="40"/>
              <w:jc w:val="center"/>
              <w:rPr>
                <w:rFonts w:cs="Calibri"/>
                <w:sz w:val="22"/>
                <w:szCs w:val="22"/>
              </w:rPr>
            </w:pPr>
          </w:p>
        </w:tc>
      </w:tr>
      <w:tr w:rsidR="00A9702F" w:rsidRPr="00ED51B2" w:rsidTr="00FC062C">
        <w:tc>
          <w:tcPr>
            <w:tcW w:w="5637" w:type="dxa"/>
            <w:tcBorders>
              <w:bottom w:val="single" w:sz="4" w:space="0" w:color="auto"/>
            </w:tcBorders>
          </w:tcPr>
          <w:p w:rsidR="00A9702F" w:rsidRDefault="00A9702F" w:rsidP="00A9702F">
            <w:pPr>
              <w:spacing w:before="40" w:after="40"/>
              <w:rPr>
                <w:rFonts w:cs="Calibri"/>
                <w:sz w:val="22"/>
                <w:szCs w:val="22"/>
              </w:rPr>
            </w:pPr>
            <w:r w:rsidRPr="00ED51B2">
              <w:rPr>
                <w:rFonts w:cs="Calibri"/>
                <w:sz w:val="22"/>
                <w:szCs w:val="22"/>
              </w:rPr>
              <w:t>Partners should consider whether and how specialist staff can train the wider workforce so that they can better identify need and support earlier</w:t>
            </w:r>
          </w:p>
          <w:p w:rsidR="00A9702F" w:rsidRDefault="00A9702F" w:rsidP="00A9702F">
            <w:pPr>
              <w:spacing w:before="40" w:after="40"/>
              <w:rPr>
                <w:rFonts w:cs="Calibri"/>
                <w:sz w:val="22"/>
                <w:szCs w:val="22"/>
              </w:rPr>
            </w:pPr>
          </w:p>
          <w:p w:rsidR="00A9702F" w:rsidRDefault="00A9702F" w:rsidP="00A9702F">
            <w:pPr>
              <w:spacing w:before="40" w:after="40"/>
              <w:rPr>
                <w:rFonts w:cs="Calibri"/>
                <w:sz w:val="22"/>
                <w:szCs w:val="22"/>
              </w:rPr>
            </w:pPr>
          </w:p>
          <w:p w:rsidR="00A9702F" w:rsidRPr="00ED51B2" w:rsidRDefault="00A9702F" w:rsidP="00A9702F">
            <w:pPr>
              <w:spacing w:before="40" w:after="40"/>
              <w:rPr>
                <w:rFonts w:cs="Calibri"/>
                <w:sz w:val="22"/>
                <w:szCs w:val="22"/>
              </w:rPr>
            </w:pPr>
          </w:p>
        </w:tc>
        <w:tc>
          <w:tcPr>
            <w:tcW w:w="1842" w:type="dxa"/>
            <w:tcBorders>
              <w:bottom w:val="single" w:sz="4" w:space="0" w:color="auto"/>
            </w:tcBorders>
          </w:tcPr>
          <w:p w:rsidR="00A9702F" w:rsidRPr="00ED51B2" w:rsidRDefault="002B6478" w:rsidP="00A9702F">
            <w:pPr>
              <w:spacing w:before="40" w:after="40"/>
              <w:rPr>
                <w:rFonts w:cs="Calibri"/>
                <w:sz w:val="22"/>
                <w:szCs w:val="22"/>
              </w:rPr>
            </w:pPr>
            <w:r>
              <w:rPr>
                <w:rFonts w:cs="Calibri"/>
                <w:sz w:val="22"/>
                <w:szCs w:val="22"/>
              </w:rPr>
              <w:lastRenderedPageBreak/>
              <w:t>SEND CoP 2015,</w:t>
            </w:r>
            <w:r w:rsidR="00A9702F" w:rsidRPr="00ED51B2">
              <w:rPr>
                <w:rFonts w:cs="Calibri"/>
                <w:sz w:val="22"/>
                <w:szCs w:val="22"/>
              </w:rPr>
              <w:t xml:space="preserve"> </w:t>
            </w:r>
          </w:p>
          <w:p w:rsidR="00A9702F" w:rsidRPr="00ED51B2" w:rsidRDefault="00A9702F" w:rsidP="00A9702F">
            <w:pPr>
              <w:spacing w:before="40" w:after="40"/>
              <w:rPr>
                <w:rFonts w:cs="Calibri"/>
                <w:sz w:val="22"/>
                <w:szCs w:val="22"/>
              </w:rPr>
            </w:pPr>
            <w:r w:rsidRPr="00ED51B2">
              <w:rPr>
                <w:rFonts w:cs="Calibri"/>
                <w:sz w:val="22"/>
                <w:szCs w:val="22"/>
              </w:rPr>
              <w:t>Para 3.41</w:t>
            </w:r>
          </w:p>
        </w:tc>
        <w:tc>
          <w:tcPr>
            <w:tcW w:w="6521" w:type="dxa"/>
            <w:tcBorders>
              <w:bottom w:val="single" w:sz="4" w:space="0" w:color="auto"/>
            </w:tcBorders>
          </w:tcPr>
          <w:p w:rsidR="00A9702F" w:rsidRPr="00ED51B2" w:rsidRDefault="00A9702F" w:rsidP="00ED51B2">
            <w:pPr>
              <w:spacing w:before="40" w:after="40"/>
              <w:rPr>
                <w:rFonts w:cs="Calibri"/>
                <w:sz w:val="22"/>
                <w:szCs w:val="22"/>
              </w:rPr>
            </w:pPr>
          </w:p>
        </w:tc>
        <w:tc>
          <w:tcPr>
            <w:tcW w:w="1134" w:type="dxa"/>
            <w:tcBorders>
              <w:bottom w:val="single" w:sz="4" w:space="0" w:color="auto"/>
            </w:tcBorders>
          </w:tcPr>
          <w:p w:rsidR="00A9702F" w:rsidRPr="00ED51B2" w:rsidRDefault="00A9702F" w:rsidP="00ED51B2">
            <w:pPr>
              <w:spacing w:before="40" w:after="40"/>
              <w:jc w:val="center"/>
              <w:rPr>
                <w:rFonts w:cs="Calibri"/>
                <w:sz w:val="22"/>
                <w:szCs w:val="22"/>
              </w:rPr>
            </w:pPr>
          </w:p>
        </w:tc>
      </w:tr>
      <w:tr w:rsidR="00A9702F" w:rsidRPr="00ED51B2" w:rsidTr="00FC062C">
        <w:tc>
          <w:tcPr>
            <w:tcW w:w="5637" w:type="dxa"/>
            <w:tcBorders>
              <w:top w:val="single" w:sz="4" w:space="0" w:color="auto"/>
              <w:bottom w:val="nil"/>
            </w:tcBorders>
          </w:tcPr>
          <w:p w:rsidR="00A9702F" w:rsidRPr="00ED51B2" w:rsidRDefault="00A9702F" w:rsidP="00A9702F">
            <w:pPr>
              <w:spacing w:before="40" w:after="40"/>
              <w:rPr>
                <w:rFonts w:cs="Calibri"/>
                <w:sz w:val="22"/>
                <w:szCs w:val="22"/>
              </w:rPr>
            </w:pPr>
            <w:r w:rsidRPr="00ED51B2">
              <w:rPr>
                <w:rFonts w:cs="Calibri"/>
                <w:sz w:val="22"/>
                <w:szCs w:val="22"/>
              </w:rPr>
              <w:lastRenderedPageBreak/>
              <w:t>Progress check at the age of 2:</w:t>
            </w:r>
          </w:p>
          <w:p w:rsidR="00A9702F" w:rsidRPr="00ED51B2" w:rsidRDefault="00A9702F" w:rsidP="00A9702F">
            <w:pPr>
              <w:spacing w:before="40" w:after="40"/>
              <w:rPr>
                <w:rFonts w:cs="Calibri"/>
                <w:sz w:val="22"/>
                <w:szCs w:val="22"/>
              </w:rPr>
            </w:pPr>
            <w:r w:rsidRPr="00ED51B2">
              <w:rPr>
                <w:rFonts w:cs="Calibri"/>
                <w:sz w:val="22"/>
                <w:szCs w:val="22"/>
              </w:rPr>
              <w:t xml:space="preserve">EY practitioners </w:t>
            </w:r>
            <w:r w:rsidRPr="00ED51B2">
              <w:rPr>
                <w:rFonts w:cs="Calibri"/>
                <w:b/>
                <w:bCs/>
                <w:sz w:val="22"/>
                <w:szCs w:val="22"/>
              </w:rPr>
              <w:t xml:space="preserve">must </w:t>
            </w:r>
            <w:r w:rsidRPr="00ED51B2">
              <w:rPr>
                <w:rFonts w:cs="Calibri"/>
                <w:sz w:val="22"/>
                <w:szCs w:val="22"/>
              </w:rPr>
              <w:t>review progress and provide parent</w:t>
            </w:r>
            <w:r w:rsidR="002B6478">
              <w:rPr>
                <w:rFonts w:cs="Calibri"/>
                <w:sz w:val="22"/>
                <w:szCs w:val="22"/>
              </w:rPr>
              <w:t>s</w:t>
            </w:r>
            <w:r w:rsidRPr="00ED51B2">
              <w:rPr>
                <w:rFonts w:cs="Calibri"/>
                <w:sz w:val="22"/>
                <w:szCs w:val="22"/>
              </w:rPr>
              <w:t xml:space="preserve"> with a report on their child’s development</w:t>
            </w:r>
          </w:p>
          <w:p w:rsidR="00A9702F" w:rsidRPr="00ED51B2" w:rsidRDefault="00A9702F" w:rsidP="00A9702F">
            <w:pPr>
              <w:spacing w:before="40" w:after="40"/>
              <w:rPr>
                <w:rFonts w:cs="Calibri"/>
                <w:sz w:val="22"/>
                <w:szCs w:val="22"/>
              </w:rPr>
            </w:pPr>
            <w:r w:rsidRPr="00ED51B2">
              <w:rPr>
                <w:rFonts w:cs="Calibri"/>
                <w:sz w:val="22"/>
                <w:szCs w:val="22"/>
              </w:rPr>
              <w:t xml:space="preserve">The report </w:t>
            </w:r>
            <w:r w:rsidRPr="00ED51B2">
              <w:rPr>
                <w:rFonts w:cs="Calibri"/>
                <w:b/>
                <w:bCs/>
                <w:sz w:val="22"/>
                <w:szCs w:val="22"/>
              </w:rPr>
              <w:t xml:space="preserve">must </w:t>
            </w:r>
            <w:r w:rsidRPr="00ED51B2">
              <w:rPr>
                <w:rFonts w:cs="Calibri"/>
                <w:sz w:val="22"/>
                <w:szCs w:val="22"/>
              </w:rPr>
              <w:t>describe the activities and strategies the provider intends to adopt to address issues and concerns</w:t>
            </w:r>
          </w:p>
        </w:tc>
        <w:tc>
          <w:tcPr>
            <w:tcW w:w="1842" w:type="dxa"/>
            <w:tcBorders>
              <w:top w:val="single" w:sz="4" w:space="0" w:color="auto"/>
            </w:tcBorders>
          </w:tcPr>
          <w:p w:rsidR="00A9702F" w:rsidRPr="00ED51B2" w:rsidRDefault="00A9702F" w:rsidP="00A9702F">
            <w:pPr>
              <w:spacing w:before="40" w:after="40"/>
              <w:rPr>
                <w:rFonts w:cs="Calibri"/>
                <w:sz w:val="22"/>
                <w:szCs w:val="22"/>
              </w:rPr>
            </w:pPr>
            <w:r w:rsidRPr="00ED51B2">
              <w:rPr>
                <w:rFonts w:cs="Calibri"/>
                <w:sz w:val="22"/>
                <w:szCs w:val="22"/>
              </w:rPr>
              <w:t>SEND CoP 2015</w:t>
            </w:r>
            <w:r w:rsidR="002B6478">
              <w:rPr>
                <w:rFonts w:cs="Calibri"/>
                <w:sz w:val="22"/>
                <w:szCs w:val="22"/>
              </w:rPr>
              <w:t>,</w:t>
            </w:r>
          </w:p>
          <w:p w:rsidR="00A9702F" w:rsidRPr="00ED51B2" w:rsidRDefault="00A9702F" w:rsidP="00A9702F">
            <w:pPr>
              <w:spacing w:before="40" w:after="40"/>
              <w:rPr>
                <w:rFonts w:cs="Calibri"/>
                <w:sz w:val="22"/>
                <w:szCs w:val="22"/>
              </w:rPr>
            </w:pPr>
            <w:r w:rsidRPr="00ED51B2">
              <w:rPr>
                <w:rFonts w:cs="Calibri"/>
                <w:sz w:val="22"/>
                <w:szCs w:val="22"/>
              </w:rPr>
              <w:t>Para 5.23</w:t>
            </w:r>
          </w:p>
        </w:tc>
        <w:tc>
          <w:tcPr>
            <w:tcW w:w="6521" w:type="dxa"/>
            <w:tcBorders>
              <w:top w:val="single" w:sz="4" w:space="0" w:color="auto"/>
            </w:tcBorders>
          </w:tcPr>
          <w:p w:rsidR="00A9702F" w:rsidRPr="00ED51B2" w:rsidRDefault="00A9702F" w:rsidP="00ED51B2">
            <w:pPr>
              <w:spacing w:before="40" w:after="40"/>
              <w:rPr>
                <w:rFonts w:cs="Calibri"/>
                <w:sz w:val="22"/>
                <w:szCs w:val="22"/>
              </w:rPr>
            </w:pPr>
          </w:p>
        </w:tc>
        <w:tc>
          <w:tcPr>
            <w:tcW w:w="1134" w:type="dxa"/>
            <w:tcBorders>
              <w:top w:val="single" w:sz="4" w:space="0" w:color="auto"/>
            </w:tcBorders>
          </w:tcPr>
          <w:p w:rsidR="00A9702F" w:rsidRPr="00ED51B2" w:rsidRDefault="00A9702F" w:rsidP="00ED51B2">
            <w:pPr>
              <w:spacing w:before="40" w:after="40"/>
              <w:jc w:val="center"/>
              <w:rPr>
                <w:rFonts w:cs="Calibri"/>
                <w:sz w:val="22"/>
                <w:szCs w:val="22"/>
              </w:rPr>
            </w:pPr>
          </w:p>
        </w:tc>
      </w:tr>
      <w:tr w:rsidR="00A9702F" w:rsidRPr="00ED51B2" w:rsidTr="00B56F78">
        <w:tc>
          <w:tcPr>
            <w:tcW w:w="5637" w:type="dxa"/>
            <w:tcBorders>
              <w:bottom w:val="nil"/>
            </w:tcBorders>
          </w:tcPr>
          <w:p w:rsidR="00A9702F" w:rsidRPr="00A9702F" w:rsidRDefault="00A9702F" w:rsidP="00A9702F">
            <w:pPr>
              <w:spacing w:before="40" w:after="40"/>
              <w:rPr>
                <w:rFonts w:cs="Calibri"/>
                <w:b/>
                <w:sz w:val="22"/>
                <w:szCs w:val="22"/>
              </w:rPr>
            </w:pPr>
            <w:r w:rsidRPr="00A9702F">
              <w:rPr>
                <w:rFonts w:cs="Calibri"/>
                <w:b/>
                <w:sz w:val="22"/>
                <w:szCs w:val="22"/>
              </w:rPr>
              <w:t>Children’s Hearing Services Working Group</w:t>
            </w:r>
          </w:p>
          <w:p w:rsidR="00A9702F" w:rsidRPr="00ED51B2" w:rsidRDefault="00A9702F" w:rsidP="00A9702F">
            <w:pPr>
              <w:spacing w:before="40" w:after="40"/>
              <w:rPr>
                <w:rFonts w:cs="Calibri"/>
                <w:sz w:val="22"/>
                <w:szCs w:val="22"/>
              </w:rPr>
            </w:pPr>
            <w:r w:rsidRPr="00ED51B2">
              <w:rPr>
                <w:rFonts w:cs="Calibri"/>
                <w:sz w:val="22"/>
                <w:szCs w:val="22"/>
              </w:rPr>
              <w:t>Governance structures and strategic partnerships are in place to ensure the service is delivered to meet standard procedures, with clear lines of responsibility and accountability</w:t>
            </w:r>
          </w:p>
        </w:tc>
        <w:tc>
          <w:tcPr>
            <w:tcW w:w="1842" w:type="dxa"/>
          </w:tcPr>
          <w:p w:rsidR="00A9702F" w:rsidRPr="00ED51B2" w:rsidRDefault="00A9702F" w:rsidP="00ED51B2">
            <w:pPr>
              <w:spacing w:before="40" w:after="40"/>
              <w:rPr>
                <w:rFonts w:cs="Calibri"/>
                <w:sz w:val="22"/>
                <w:szCs w:val="22"/>
              </w:rPr>
            </w:pPr>
            <w:r w:rsidRPr="00D70ECD">
              <w:rPr>
                <w:rFonts w:cs="Calibri"/>
                <w:sz w:val="22"/>
                <w:szCs w:val="22"/>
              </w:rPr>
              <w:t>NHS Newborn</w:t>
            </w:r>
            <w:r w:rsidR="002B6478">
              <w:rPr>
                <w:rFonts w:cs="Calibri"/>
                <w:sz w:val="22"/>
                <w:szCs w:val="22"/>
              </w:rPr>
              <w:t xml:space="preserve"> Hearing Screening Standards, </w:t>
            </w:r>
            <w:r w:rsidRPr="00ED51B2">
              <w:rPr>
                <w:rFonts w:cs="Calibri"/>
                <w:sz w:val="22"/>
                <w:szCs w:val="22"/>
              </w:rPr>
              <w:t>Standard 27</w:t>
            </w:r>
            <w:r>
              <w:rPr>
                <w:rStyle w:val="FootnoteReference"/>
                <w:rFonts w:cs="Calibri"/>
                <w:sz w:val="22"/>
                <w:szCs w:val="22"/>
              </w:rPr>
              <w:footnoteReference w:id="6"/>
            </w:r>
          </w:p>
        </w:tc>
        <w:tc>
          <w:tcPr>
            <w:tcW w:w="6521" w:type="dxa"/>
          </w:tcPr>
          <w:p w:rsidR="00A9702F" w:rsidRPr="00ED51B2" w:rsidRDefault="00A9702F" w:rsidP="00ED51B2">
            <w:pPr>
              <w:spacing w:before="40" w:after="40"/>
              <w:rPr>
                <w:rFonts w:cs="Calibri"/>
                <w:sz w:val="22"/>
                <w:szCs w:val="22"/>
              </w:rPr>
            </w:pPr>
          </w:p>
        </w:tc>
        <w:tc>
          <w:tcPr>
            <w:tcW w:w="1134" w:type="dxa"/>
          </w:tcPr>
          <w:p w:rsidR="00A9702F" w:rsidRPr="00ED51B2" w:rsidRDefault="00A9702F" w:rsidP="00ED51B2">
            <w:pPr>
              <w:spacing w:before="40" w:after="40"/>
              <w:jc w:val="center"/>
              <w:rPr>
                <w:rFonts w:cs="Calibri"/>
                <w:sz w:val="22"/>
                <w:szCs w:val="22"/>
              </w:rPr>
            </w:pPr>
          </w:p>
        </w:tc>
      </w:tr>
      <w:tr w:rsidR="00ED51B2" w:rsidRPr="00ED51B2" w:rsidTr="00B56F78">
        <w:tc>
          <w:tcPr>
            <w:tcW w:w="5637" w:type="dxa"/>
          </w:tcPr>
          <w:p w:rsidR="00ED51B2" w:rsidRPr="00ED51B2" w:rsidRDefault="00ED51B2" w:rsidP="00ED51B2">
            <w:pPr>
              <w:spacing w:before="40" w:after="40"/>
              <w:rPr>
                <w:rFonts w:cs="Calibri"/>
                <w:b/>
                <w:sz w:val="22"/>
                <w:szCs w:val="22"/>
              </w:rPr>
            </w:pPr>
            <w:r w:rsidRPr="00ED51B2">
              <w:rPr>
                <w:rFonts w:cs="Calibri"/>
                <w:b/>
                <w:sz w:val="22"/>
                <w:szCs w:val="22"/>
              </w:rPr>
              <w:t>Early Years</w:t>
            </w:r>
          </w:p>
        </w:tc>
        <w:tc>
          <w:tcPr>
            <w:tcW w:w="1842" w:type="dxa"/>
          </w:tcPr>
          <w:p w:rsidR="00ED51B2" w:rsidRPr="00ED51B2" w:rsidRDefault="00ED51B2" w:rsidP="00ED51B2">
            <w:pPr>
              <w:spacing w:before="40" w:after="40"/>
              <w:rPr>
                <w:rFonts w:cs="Calibri"/>
                <w:sz w:val="22"/>
                <w:szCs w:val="22"/>
              </w:rPr>
            </w:pPr>
          </w:p>
        </w:tc>
        <w:tc>
          <w:tcPr>
            <w:tcW w:w="6521" w:type="dxa"/>
          </w:tcPr>
          <w:p w:rsidR="00ED51B2" w:rsidRPr="00ED51B2" w:rsidRDefault="00ED51B2" w:rsidP="00ED51B2">
            <w:pPr>
              <w:spacing w:before="40" w:after="40"/>
              <w:rPr>
                <w:rFonts w:cs="Calibri"/>
                <w:sz w:val="22"/>
                <w:szCs w:val="22"/>
              </w:rPr>
            </w:pPr>
          </w:p>
        </w:tc>
        <w:tc>
          <w:tcPr>
            <w:tcW w:w="1134" w:type="dxa"/>
          </w:tcPr>
          <w:p w:rsidR="00ED51B2" w:rsidRPr="00ED51B2" w:rsidRDefault="00ED51B2" w:rsidP="00ED51B2">
            <w:pPr>
              <w:spacing w:before="40" w:after="40"/>
              <w:jc w:val="center"/>
              <w:rPr>
                <w:rFonts w:cs="Calibri"/>
                <w:sz w:val="22"/>
                <w:szCs w:val="22"/>
              </w:rPr>
            </w:pPr>
          </w:p>
        </w:tc>
      </w:tr>
      <w:tr w:rsidR="00ED51B2" w:rsidRPr="00ED51B2" w:rsidTr="00B56F78">
        <w:tc>
          <w:tcPr>
            <w:tcW w:w="5637" w:type="dxa"/>
          </w:tcPr>
          <w:p w:rsidR="00ED51B2" w:rsidRPr="00ED51B2" w:rsidRDefault="00ED51B2" w:rsidP="00ED51B2">
            <w:pPr>
              <w:spacing w:before="40" w:after="40"/>
              <w:rPr>
                <w:rFonts w:cs="Calibri"/>
                <w:sz w:val="22"/>
                <w:szCs w:val="22"/>
              </w:rPr>
            </w:pPr>
            <w:r w:rsidRPr="00ED51B2">
              <w:rPr>
                <w:rFonts w:cs="Calibri"/>
                <w:b/>
                <w:sz w:val="22"/>
                <w:szCs w:val="22"/>
              </w:rPr>
              <w:t>Identification</w:t>
            </w:r>
            <w:r w:rsidRPr="00ED51B2">
              <w:rPr>
                <w:rFonts w:cs="Calibri"/>
                <w:sz w:val="22"/>
                <w:szCs w:val="22"/>
              </w:rPr>
              <w:t>:</w:t>
            </w:r>
          </w:p>
          <w:p w:rsidR="00ED51B2" w:rsidRPr="00ED51B2" w:rsidRDefault="00ED51B2" w:rsidP="003266CB">
            <w:pPr>
              <w:spacing w:before="40" w:after="40"/>
              <w:rPr>
                <w:rFonts w:cs="Calibri"/>
                <w:sz w:val="22"/>
                <w:szCs w:val="22"/>
              </w:rPr>
            </w:pPr>
            <w:r w:rsidRPr="00ED51B2">
              <w:rPr>
                <w:rFonts w:cs="Calibri"/>
                <w:sz w:val="22"/>
                <w:szCs w:val="22"/>
              </w:rPr>
              <w:t>In addition to the statutory duties under section 22 of the CFA 2014, LAs are required to identify children eligible for Early Years Pupil Premium and Disability Access Fund</w:t>
            </w:r>
            <w:r w:rsidRPr="00ED51B2">
              <w:rPr>
                <w:rStyle w:val="FootnoteReference"/>
                <w:rFonts w:cs="Calibri"/>
                <w:sz w:val="22"/>
                <w:szCs w:val="22"/>
              </w:rPr>
              <w:footnoteReference w:id="7"/>
            </w:r>
            <w:r w:rsidRPr="00ED51B2">
              <w:rPr>
                <w:rFonts w:cs="Calibri"/>
                <w:sz w:val="22"/>
                <w:szCs w:val="22"/>
              </w:rPr>
              <w:t xml:space="preserve"> and promote it. </w:t>
            </w:r>
          </w:p>
        </w:tc>
        <w:tc>
          <w:tcPr>
            <w:tcW w:w="1842" w:type="dxa"/>
          </w:tcPr>
          <w:p w:rsidR="00ED51B2" w:rsidRPr="00ED51B2" w:rsidRDefault="00ED51B2" w:rsidP="00ED51B2">
            <w:pPr>
              <w:spacing w:before="40" w:after="40"/>
              <w:rPr>
                <w:rFonts w:cs="Calibri"/>
                <w:sz w:val="22"/>
                <w:szCs w:val="22"/>
              </w:rPr>
            </w:pPr>
            <w:r w:rsidRPr="00ED51B2">
              <w:rPr>
                <w:rFonts w:cs="Calibri"/>
                <w:bCs/>
                <w:sz w:val="22"/>
                <w:szCs w:val="22"/>
              </w:rPr>
              <w:t xml:space="preserve">Early education and childcare statutory guidance to LAs </w:t>
            </w:r>
            <w:r w:rsidRPr="0082784D">
              <w:rPr>
                <w:rFonts w:cs="Calibri"/>
                <w:bCs/>
                <w:sz w:val="22"/>
                <w:szCs w:val="22"/>
              </w:rPr>
              <w:t>(March 2017)</w:t>
            </w:r>
          </w:p>
          <w:p w:rsidR="00ED51B2" w:rsidRPr="00ED51B2" w:rsidRDefault="00ED51B2" w:rsidP="00ED51B2">
            <w:pPr>
              <w:spacing w:before="40" w:after="40"/>
              <w:rPr>
                <w:rFonts w:cs="Calibri"/>
                <w:sz w:val="22"/>
                <w:szCs w:val="22"/>
              </w:rPr>
            </w:pPr>
            <w:r w:rsidRPr="00ED51B2">
              <w:rPr>
                <w:rFonts w:cs="Calibri"/>
                <w:sz w:val="22"/>
                <w:szCs w:val="22"/>
              </w:rPr>
              <w:t xml:space="preserve"> Para A1.29</w:t>
            </w:r>
          </w:p>
        </w:tc>
        <w:tc>
          <w:tcPr>
            <w:tcW w:w="6521" w:type="dxa"/>
          </w:tcPr>
          <w:p w:rsidR="00ED51B2" w:rsidRPr="00ED51B2" w:rsidRDefault="00ED51B2" w:rsidP="00ED51B2">
            <w:pPr>
              <w:spacing w:before="40" w:after="40"/>
              <w:rPr>
                <w:rFonts w:cs="Calibri"/>
                <w:sz w:val="22"/>
                <w:szCs w:val="22"/>
              </w:rPr>
            </w:pPr>
          </w:p>
        </w:tc>
        <w:tc>
          <w:tcPr>
            <w:tcW w:w="1134" w:type="dxa"/>
          </w:tcPr>
          <w:p w:rsidR="00ED51B2" w:rsidRPr="00ED51B2" w:rsidRDefault="00ED51B2" w:rsidP="00ED51B2">
            <w:pPr>
              <w:spacing w:before="40" w:after="40"/>
              <w:jc w:val="center"/>
              <w:rPr>
                <w:rFonts w:cs="Calibri"/>
                <w:sz w:val="22"/>
                <w:szCs w:val="22"/>
              </w:rPr>
            </w:pPr>
          </w:p>
        </w:tc>
      </w:tr>
      <w:tr w:rsidR="00ED51B2" w:rsidRPr="00ED51B2" w:rsidTr="00B56F78">
        <w:tc>
          <w:tcPr>
            <w:tcW w:w="5637" w:type="dxa"/>
          </w:tcPr>
          <w:p w:rsidR="00ED51B2" w:rsidRPr="00ED51B2" w:rsidRDefault="00ED51B2" w:rsidP="00ED51B2">
            <w:pPr>
              <w:spacing w:before="40" w:after="40"/>
              <w:rPr>
                <w:rFonts w:cs="Calibri"/>
                <w:b/>
                <w:sz w:val="22"/>
                <w:szCs w:val="22"/>
              </w:rPr>
            </w:pPr>
            <w:r w:rsidRPr="00ED51B2">
              <w:rPr>
                <w:rFonts w:cs="Calibri"/>
                <w:b/>
                <w:sz w:val="22"/>
                <w:szCs w:val="22"/>
              </w:rPr>
              <w:t>Improving outcomes and reducing inequalities in the EYs</w:t>
            </w:r>
          </w:p>
          <w:p w:rsidR="00ED51B2" w:rsidRDefault="00ED51B2" w:rsidP="003266CB">
            <w:pPr>
              <w:spacing w:before="40" w:after="40"/>
              <w:rPr>
                <w:rFonts w:cs="Calibri"/>
                <w:sz w:val="22"/>
                <w:szCs w:val="22"/>
              </w:rPr>
            </w:pPr>
            <w:r w:rsidRPr="00ED51B2">
              <w:rPr>
                <w:rFonts w:cs="Calibri"/>
                <w:sz w:val="22"/>
                <w:szCs w:val="22"/>
              </w:rPr>
              <w:t>LAs are required to improve outcomes for children under 5s and reduce inequalities</w:t>
            </w:r>
          </w:p>
          <w:p w:rsidR="00A9702F" w:rsidRDefault="00A9702F" w:rsidP="003266CB">
            <w:pPr>
              <w:spacing w:before="40" w:after="40"/>
              <w:rPr>
                <w:rFonts w:cs="Calibri"/>
                <w:sz w:val="22"/>
                <w:szCs w:val="22"/>
              </w:rPr>
            </w:pPr>
          </w:p>
          <w:p w:rsidR="00A9702F" w:rsidRDefault="00A9702F" w:rsidP="003266CB">
            <w:pPr>
              <w:spacing w:before="40" w:after="40"/>
              <w:rPr>
                <w:rFonts w:cs="Calibri"/>
                <w:sz w:val="22"/>
                <w:szCs w:val="22"/>
              </w:rPr>
            </w:pPr>
          </w:p>
          <w:p w:rsidR="002B6478" w:rsidRDefault="002B6478" w:rsidP="003266CB">
            <w:pPr>
              <w:spacing w:before="40" w:after="40"/>
              <w:rPr>
                <w:rFonts w:cs="Calibri"/>
                <w:sz w:val="22"/>
                <w:szCs w:val="22"/>
              </w:rPr>
            </w:pPr>
          </w:p>
          <w:p w:rsidR="00A9702F" w:rsidRDefault="00A9702F" w:rsidP="003266CB">
            <w:pPr>
              <w:spacing w:before="40" w:after="40"/>
              <w:rPr>
                <w:rFonts w:cs="Calibri"/>
                <w:sz w:val="22"/>
                <w:szCs w:val="22"/>
              </w:rPr>
            </w:pPr>
          </w:p>
          <w:p w:rsidR="00A9702F" w:rsidRDefault="00A9702F" w:rsidP="003266CB">
            <w:pPr>
              <w:spacing w:before="40" w:after="40"/>
              <w:rPr>
                <w:rFonts w:cs="Calibri"/>
                <w:sz w:val="22"/>
                <w:szCs w:val="22"/>
              </w:rPr>
            </w:pPr>
          </w:p>
          <w:p w:rsidR="00A9702F" w:rsidRPr="00ED51B2" w:rsidRDefault="00A9702F" w:rsidP="003266CB">
            <w:pPr>
              <w:spacing w:before="40" w:after="40"/>
              <w:rPr>
                <w:rFonts w:cs="Calibri"/>
                <w:sz w:val="22"/>
                <w:szCs w:val="22"/>
              </w:rPr>
            </w:pPr>
          </w:p>
        </w:tc>
        <w:tc>
          <w:tcPr>
            <w:tcW w:w="1842" w:type="dxa"/>
          </w:tcPr>
          <w:p w:rsidR="00ED51B2" w:rsidRPr="00ED51B2" w:rsidRDefault="00ED51B2" w:rsidP="0082784D">
            <w:pPr>
              <w:spacing w:before="40" w:after="40"/>
              <w:rPr>
                <w:rFonts w:cs="Calibri"/>
                <w:bCs/>
                <w:sz w:val="22"/>
                <w:szCs w:val="22"/>
              </w:rPr>
            </w:pPr>
            <w:r w:rsidRPr="00A9702F">
              <w:rPr>
                <w:rFonts w:cs="Calibri"/>
                <w:bCs/>
                <w:sz w:val="22"/>
                <w:szCs w:val="22"/>
              </w:rPr>
              <w:lastRenderedPageBreak/>
              <w:t>Childcare Act 2006</w:t>
            </w:r>
            <w:r w:rsidR="0082784D">
              <w:rPr>
                <w:rFonts w:cs="Calibri"/>
                <w:bCs/>
                <w:sz w:val="22"/>
                <w:szCs w:val="22"/>
              </w:rPr>
              <w:t>,</w:t>
            </w:r>
            <w:r w:rsidR="0082784D">
              <w:rPr>
                <w:rFonts w:cs="Calibri"/>
                <w:bCs/>
                <w:sz w:val="22"/>
                <w:szCs w:val="22"/>
              </w:rPr>
              <w:br/>
            </w:r>
            <w:r w:rsidRPr="00ED51B2">
              <w:rPr>
                <w:rFonts w:cs="Calibri"/>
                <w:bCs/>
                <w:sz w:val="22"/>
                <w:szCs w:val="22"/>
              </w:rPr>
              <w:t>Sections 1</w:t>
            </w:r>
            <w:r w:rsidR="0082784D">
              <w:rPr>
                <w:rFonts w:cs="Calibri"/>
                <w:bCs/>
                <w:sz w:val="22"/>
                <w:szCs w:val="22"/>
              </w:rPr>
              <w:t xml:space="preserve"> </w:t>
            </w:r>
            <w:r w:rsidRPr="00ED51B2">
              <w:rPr>
                <w:rFonts w:cs="Calibri"/>
                <w:bCs/>
                <w:sz w:val="22"/>
                <w:szCs w:val="22"/>
              </w:rPr>
              <w:t>-</w:t>
            </w:r>
            <w:r w:rsidR="0082784D">
              <w:rPr>
                <w:rFonts w:cs="Calibri"/>
                <w:bCs/>
                <w:sz w:val="22"/>
                <w:szCs w:val="22"/>
              </w:rPr>
              <w:t xml:space="preserve"> </w:t>
            </w:r>
            <w:r w:rsidRPr="00ED51B2">
              <w:rPr>
                <w:rFonts w:cs="Calibri"/>
                <w:bCs/>
                <w:sz w:val="22"/>
                <w:szCs w:val="22"/>
              </w:rPr>
              <w:t>5</w:t>
            </w:r>
            <w:r w:rsidR="00A9702F">
              <w:rPr>
                <w:rStyle w:val="FootnoteReference"/>
                <w:rFonts w:cs="Calibri"/>
                <w:bCs/>
                <w:sz w:val="22"/>
                <w:szCs w:val="22"/>
              </w:rPr>
              <w:footnoteReference w:id="8"/>
            </w:r>
          </w:p>
        </w:tc>
        <w:tc>
          <w:tcPr>
            <w:tcW w:w="6521" w:type="dxa"/>
          </w:tcPr>
          <w:p w:rsidR="00ED51B2" w:rsidRPr="00ED51B2" w:rsidRDefault="00ED51B2" w:rsidP="00ED51B2">
            <w:pPr>
              <w:spacing w:before="40" w:after="40"/>
              <w:rPr>
                <w:rFonts w:cs="Calibri"/>
                <w:sz w:val="22"/>
                <w:szCs w:val="22"/>
              </w:rPr>
            </w:pPr>
          </w:p>
        </w:tc>
        <w:tc>
          <w:tcPr>
            <w:tcW w:w="1134" w:type="dxa"/>
          </w:tcPr>
          <w:p w:rsidR="00ED51B2" w:rsidRPr="00ED51B2" w:rsidRDefault="00ED51B2" w:rsidP="00ED51B2">
            <w:pPr>
              <w:spacing w:before="40" w:after="40"/>
              <w:jc w:val="center"/>
              <w:rPr>
                <w:rFonts w:cs="Calibri"/>
                <w:sz w:val="22"/>
                <w:szCs w:val="22"/>
              </w:rPr>
            </w:pPr>
          </w:p>
        </w:tc>
      </w:tr>
      <w:tr w:rsidR="003266CB" w:rsidRPr="00ED51B2" w:rsidTr="00B56F78">
        <w:tc>
          <w:tcPr>
            <w:tcW w:w="5637" w:type="dxa"/>
          </w:tcPr>
          <w:p w:rsidR="00A9702F" w:rsidRPr="00ED51B2" w:rsidRDefault="00A9702F" w:rsidP="00A9702F">
            <w:pPr>
              <w:spacing w:before="40" w:after="40"/>
              <w:rPr>
                <w:rFonts w:cs="Calibri"/>
                <w:b/>
                <w:sz w:val="22"/>
                <w:szCs w:val="22"/>
              </w:rPr>
            </w:pPr>
            <w:r w:rsidRPr="00ED51B2">
              <w:rPr>
                <w:rFonts w:cs="Calibri"/>
                <w:b/>
                <w:sz w:val="22"/>
                <w:szCs w:val="22"/>
              </w:rPr>
              <w:lastRenderedPageBreak/>
              <w:t>Support to EY providers</w:t>
            </w:r>
          </w:p>
          <w:p w:rsidR="003266CB" w:rsidRPr="00ED51B2" w:rsidRDefault="00A9702F" w:rsidP="00A9702F">
            <w:pPr>
              <w:spacing w:before="40" w:after="40"/>
              <w:rPr>
                <w:rFonts w:cs="Calibri"/>
                <w:b/>
                <w:sz w:val="22"/>
                <w:szCs w:val="22"/>
              </w:rPr>
            </w:pPr>
            <w:r w:rsidRPr="00ED51B2">
              <w:rPr>
                <w:rFonts w:cs="Calibri"/>
                <w:iCs/>
                <w:sz w:val="22"/>
                <w:szCs w:val="22"/>
              </w:rPr>
              <w:t xml:space="preserve">When securing funded places LAs </w:t>
            </w:r>
            <w:r w:rsidRPr="00ED51B2">
              <w:rPr>
                <w:rFonts w:cs="Calibri"/>
                <w:bCs/>
                <w:iCs/>
                <w:sz w:val="22"/>
                <w:szCs w:val="22"/>
              </w:rPr>
              <w:t xml:space="preserve">must </w:t>
            </w:r>
            <w:r w:rsidRPr="00ED51B2">
              <w:rPr>
                <w:rFonts w:cs="Calibri"/>
                <w:iCs/>
                <w:sz w:val="22"/>
                <w:szCs w:val="22"/>
              </w:rPr>
              <w:t>promote equality of opportunity for disabled children. This should include securing relevant expertise among early years providers and working with parents to ensure that appropriate provision is in place to enable each child to flourish</w:t>
            </w:r>
          </w:p>
        </w:tc>
        <w:tc>
          <w:tcPr>
            <w:tcW w:w="1842" w:type="dxa"/>
          </w:tcPr>
          <w:p w:rsidR="002B6478" w:rsidRDefault="00A9702F" w:rsidP="00ED51B2">
            <w:pPr>
              <w:spacing w:before="40" w:after="40"/>
              <w:rPr>
                <w:rFonts w:cs="Calibri"/>
                <w:sz w:val="22"/>
                <w:szCs w:val="22"/>
              </w:rPr>
            </w:pPr>
            <w:r w:rsidRPr="00ED51B2">
              <w:rPr>
                <w:rFonts w:cs="Calibri"/>
                <w:sz w:val="22"/>
                <w:szCs w:val="22"/>
              </w:rPr>
              <w:t>SEND CoP 2015</w:t>
            </w:r>
            <w:r w:rsidR="002B6478">
              <w:rPr>
                <w:rFonts w:cs="Calibri"/>
                <w:sz w:val="22"/>
                <w:szCs w:val="22"/>
              </w:rPr>
              <w:t>,</w:t>
            </w:r>
          </w:p>
          <w:p w:rsidR="003266CB" w:rsidRPr="00ED51B2" w:rsidRDefault="00A9702F" w:rsidP="00ED51B2">
            <w:pPr>
              <w:spacing w:before="40" w:after="40"/>
              <w:rPr>
                <w:rFonts w:cs="Calibri"/>
                <w:sz w:val="22"/>
                <w:szCs w:val="22"/>
              </w:rPr>
            </w:pPr>
            <w:r w:rsidRPr="00ED51B2">
              <w:rPr>
                <w:rFonts w:cs="Calibri"/>
                <w:sz w:val="22"/>
                <w:szCs w:val="22"/>
              </w:rPr>
              <w:t>Para 4.37</w:t>
            </w:r>
          </w:p>
        </w:tc>
        <w:tc>
          <w:tcPr>
            <w:tcW w:w="6521" w:type="dxa"/>
          </w:tcPr>
          <w:p w:rsidR="003266CB" w:rsidRPr="00ED51B2" w:rsidRDefault="003266CB" w:rsidP="00ED51B2">
            <w:pPr>
              <w:spacing w:before="40" w:after="40"/>
              <w:rPr>
                <w:rFonts w:cs="Calibri"/>
                <w:sz w:val="22"/>
                <w:szCs w:val="22"/>
              </w:rPr>
            </w:pPr>
          </w:p>
        </w:tc>
        <w:tc>
          <w:tcPr>
            <w:tcW w:w="1134" w:type="dxa"/>
          </w:tcPr>
          <w:p w:rsidR="003266CB" w:rsidRPr="00ED51B2" w:rsidRDefault="003266CB" w:rsidP="00ED51B2">
            <w:pPr>
              <w:spacing w:before="40" w:after="40"/>
              <w:jc w:val="center"/>
              <w:rPr>
                <w:rFonts w:cs="Calibri"/>
                <w:sz w:val="22"/>
                <w:szCs w:val="22"/>
              </w:rPr>
            </w:pPr>
          </w:p>
        </w:tc>
      </w:tr>
      <w:tr w:rsidR="00A9702F" w:rsidRPr="00ED51B2" w:rsidTr="00B56F78">
        <w:tc>
          <w:tcPr>
            <w:tcW w:w="5637" w:type="dxa"/>
          </w:tcPr>
          <w:p w:rsidR="00A9702F" w:rsidRPr="00ED51B2" w:rsidRDefault="00A9702F" w:rsidP="00A9702F">
            <w:pPr>
              <w:spacing w:before="40" w:after="40"/>
              <w:rPr>
                <w:rFonts w:cs="Calibri"/>
                <w:sz w:val="22"/>
                <w:szCs w:val="22"/>
              </w:rPr>
            </w:pPr>
            <w:r w:rsidRPr="00ED51B2">
              <w:rPr>
                <w:rFonts w:cs="Calibri"/>
                <w:sz w:val="22"/>
                <w:szCs w:val="22"/>
              </w:rPr>
              <w:t>L</w:t>
            </w:r>
            <w:r w:rsidRPr="00ED51B2">
              <w:rPr>
                <w:rFonts w:cs="Calibri"/>
                <w:iCs/>
                <w:sz w:val="22"/>
                <w:szCs w:val="22"/>
              </w:rPr>
              <w:t xml:space="preserve">As are </w:t>
            </w:r>
            <w:r w:rsidRPr="00ED51B2">
              <w:rPr>
                <w:rFonts w:cs="Calibri"/>
                <w:bCs/>
                <w:iCs/>
                <w:sz w:val="22"/>
                <w:szCs w:val="22"/>
              </w:rPr>
              <w:t xml:space="preserve">required by </w:t>
            </w:r>
            <w:r w:rsidRPr="00ED51B2">
              <w:rPr>
                <w:rFonts w:cs="Calibri"/>
                <w:iCs/>
                <w:sz w:val="22"/>
                <w:szCs w:val="22"/>
              </w:rPr>
              <w:t>legislation to:</w:t>
            </w:r>
          </w:p>
          <w:p w:rsidR="00A9702F" w:rsidRPr="00ED51B2" w:rsidRDefault="002B6478" w:rsidP="002B6478">
            <w:pPr>
              <w:spacing w:before="40" w:after="40"/>
              <w:rPr>
                <w:rFonts w:cs="Calibri"/>
                <w:sz w:val="22"/>
                <w:szCs w:val="22"/>
              </w:rPr>
            </w:pPr>
            <w:r>
              <w:rPr>
                <w:rFonts w:cs="Calibri"/>
                <w:iCs/>
                <w:sz w:val="22"/>
                <w:szCs w:val="22"/>
              </w:rPr>
              <w:t>[…] s</w:t>
            </w:r>
            <w:r w:rsidR="00A9702F" w:rsidRPr="00ED51B2">
              <w:rPr>
                <w:rFonts w:cs="Calibri"/>
                <w:iCs/>
                <w:sz w:val="22"/>
                <w:szCs w:val="22"/>
              </w:rPr>
              <w:t xml:space="preserve">ecure information, advice and training for providers in their areas </w:t>
            </w:r>
            <w:r>
              <w:rPr>
                <w:rFonts w:cs="Calibri"/>
                <w:iCs/>
                <w:sz w:val="22"/>
                <w:szCs w:val="22"/>
              </w:rPr>
              <w:t xml:space="preserve">[…] </w:t>
            </w:r>
            <w:r w:rsidR="00A9702F" w:rsidRPr="00ED51B2">
              <w:rPr>
                <w:rFonts w:cs="Calibri"/>
                <w:iCs/>
                <w:sz w:val="22"/>
                <w:szCs w:val="22"/>
              </w:rPr>
              <w:t>on meeting the needs of children with SEND</w:t>
            </w:r>
          </w:p>
        </w:tc>
        <w:tc>
          <w:tcPr>
            <w:tcW w:w="1842" w:type="dxa"/>
          </w:tcPr>
          <w:p w:rsidR="00A9702F" w:rsidRPr="00ED51B2" w:rsidRDefault="00A9702F" w:rsidP="002B6478">
            <w:pPr>
              <w:spacing w:before="40" w:after="40"/>
              <w:rPr>
                <w:rFonts w:cs="Calibri"/>
                <w:sz w:val="22"/>
                <w:szCs w:val="22"/>
              </w:rPr>
            </w:pPr>
            <w:r w:rsidRPr="00A9702F">
              <w:rPr>
                <w:rFonts w:cs="Calibri"/>
                <w:sz w:val="22"/>
                <w:szCs w:val="22"/>
              </w:rPr>
              <w:t>Early education and childcare statutory guidance to LAs</w:t>
            </w:r>
            <w:r w:rsidRPr="00ED51B2">
              <w:rPr>
                <w:rFonts w:cs="Calibri"/>
                <w:sz w:val="22"/>
                <w:szCs w:val="22"/>
              </w:rPr>
              <w:t xml:space="preserve"> (March 2017)</w:t>
            </w:r>
            <w:r w:rsidR="002B6478">
              <w:rPr>
                <w:rFonts w:cs="Calibri"/>
                <w:sz w:val="22"/>
                <w:szCs w:val="22"/>
              </w:rPr>
              <w:t>,</w:t>
            </w:r>
            <w:r w:rsidRPr="00ED51B2">
              <w:rPr>
                <w:rFonts w:cs="Calibri"/>
                <w:sz w:val="22"/>
                <w:szCs w:val="22"/>
              </w:rPr>
              <w:t xml:space="preserve"> Part D</w:t>
            </w:r>
            <w:r w:rsidR="002B6478">
              <w:rPr>
                <w:rFonts w:cs="Calibri"/>
                <w:sz w:val="22"/>
                <w:szCs w:val="22"/>
              </w:rPr>
              <w:t>,</w:t>
            </w:r>
            <w:r w:rsidRPr="00ED51B2">
              <w:rPr>
                <w:rFonts w:cs="Calibri"/>
                <w:sz w:val="22"/>
                <w:szCs w:val="22"/>
              </w:rPr>
              <w:t xml:space="preserve"> </w:t>
            </w:r>
            <w:r w:rsidR="002B6478">
              <w:rPr>
                <w:rFonts w:cs="Calibri"/>
                <w:sz w:val="22"/>
                <w:szCs w:val="22"/>
              </w:rPr>
              <w:br/>
            </w:r>
            <w:r w:rsidRPr="00ED51B2">
              <w:rPr>
                <w:rFonts w:cs="Calibri"/>
                <w:sz w:val="22"/>
                <w:szCs w:val="22"/>
              </w:rPr>
              <w:t>Section D.1</w:t>
            </w:r>
            <w:r>
              <w:rPr>
                <w:rStyle w:val="FootnoteReference"/>
                <w:rFonts w:cs="Calibri"/>
                <w:sz w:val="22"/>
                <w:szCs w:val="22"/>
              </w:rPr>
              <w:footnoteReference w:id="9"/>
            </w:r>
          </w:p>
        </w:tc>
        <w:tc>
          <w:tcPr>
            <w:tcW w:w="6521" w:type="dxa"/>
          </w:tcPr>
          <w:p w:rsidR="00A9702F" w:rsidRPr="00ED51B2" w:rsidRDefault="00A9702F" w:rsidP="00ED51B2">
            <w:pPr>
              <w:spacing w:before="40" w:after="40"/>
              <w:rPr>
                <w:rFonts w:cs="Calibri"/>
                <w:sz w:val="22"/>
                <w:szCs w:val="22"/>
              </w:rPr>
            </w:pPr>
          </w:p>
        </w:tc>
        <w:tc>
          <w:tcPr>
            <w:tcW w:w="1134" w:type="dxa"/>
          </w:tcPr>
          <w:p w:rsidR="00A9702F" w:rsidRPr="00ED51B2" w:rsidRDefault="00A9702F" w:rsidP="00ED51B2">
            <w:pPr>
              <w:spacing w:before="40" w:after="40"/>
              <w:jc w:val="center"/>
              <w:rPr>
                <w:rFonts w:cs="Calibri"/>
                <w:sz w:val="22"/>
                <w:szCs w:val="22"/>
              </w:rPr>
            </w:pPr>
          </w:p>
        </w:tc>
      </w:tr>
      <w:tr w:rsidR="00A9702F" w:rsidRPr="00ED51B2" w:rsidTr="00B56F78">
        <w:tc>
          <w:tcPr>
            <w:tcW w:w="5637" w:type="dxa"/>
          </w:tcPr>
          <w:p w:rsidR="00A9702F" w:rsidRPr="00ED51B2" w:rsidRDefault="00A9702F" w:rsidP="00A9702F">
            <w:pPr>
              <w:spacing w:before="40" w:after="40"/>
              <w:rPr>
                <w:rFonts w:cs="Calibri"/>
                <w:b/>
                <w:sz w:val="22"/>
                <w:szCs w:val="22"/>
              </w:rPr>
            </w:pPr>
            <w:r w:rsidRPr="00ED51B2">
              <w:rPr>
                <w:rFonts w:cs="Calibri"/>
                <w:b/>
                <w:sz w:val="22"/>
                <w:szCs w:val="22"/>
              </w:rPr>
              <w:t>Specialist support for under 2 year olds</w:t>
            </w:r>
          </w:p>
          <w:p w:rsidR="00A9702F" w:rsidRPr="00ED51B2" w:rsidRDefault="00A9702F" w:rsidP="00A9702F">
            <w:pPr>
              <w:pStyle w:val="Default"/>
              <w:spacing w:before="40" w:after="40"/>
              <w:rPr>
                <w:rFonts w:ascii="Calibri" w:hAnsi="Calibri" w:cs="Calibri"/>
                <w:sz w:val="22"/>
                <w:szCs w:val="22"/>
              </w:rPr>
            </w:pPr>
            <w:r w:rsidRPr="00ED51B2">
              <w:rPr>
                <w:rFonts w:ascii="Calibri" w:hAnsi="Calibri" w:cs="Calibri"/>
                <w:sz w:val="22"/>
                <w:szCs w:val="22"/>
              </w:rPr>
              <w:t xml:space="preserve">This support can take a number of forms, including: </w:t>
            </w:r>
          </w:p>
          <w:p w:rsidR="00A9702F" w:rsidRPr="00ED51B2" w:rsidRDefault="00A9702F" w:rsidP="00A9702F">
            <w:pPr>
              <w:pStyle w:val="Default"/>
              <w:spacing w:before="40" w:after="40"/>
              <w:ind w:left="142" w:hanging="142"/>
              <w:rPr>
                <w:rFonts w:ascii="Calibri" w:hAnsi="Calibri" w:cs="Calibri"/>
                <w:sz w:val="22"/>
                <w:szCs w:val="22"/>
              </w:rPr>
            </w:pPr>
            <w:r w:rsidRPr="00ED51B2">
              <w:rPr>
                <w:rFonts w:ascii="Calibri" w:hAnsi="Calibri" w:cs="Calibri"/>
                <w:sz w:val="22"/>
                <w:szCs w:val="22"/>
              </w:rPr>
              <w:t>• specialist support from</w:t>
            </w:r>
            <w:r w:rsidR="002B6478">
              <w:rPr>
                <w:rFonts w:ascii="Calibri" w:hAnsi="Calibri" w:cs="Calibri"/>
                <w:sz w:val="22"/>
                <w:szCs w:val="22"/>
              </w:rPr>
              <w:t xml:space="preserve"> […] </w:t>
            </w:r>
            <w:r w:rsidRPr="00ED51B2">
              <w:rPr>
                <w:rFonts w:ascii="Calibri" w:hAnsi="Calibri" w:cs="Calibri"/>
                <w:sz w:val="22"/>
                <w:szCs w:val="22"/>
              </w:rPr>
              <w:t xml:space="preserve">specialist teachers, such as a </w:t>
            </w:r>
            <w:r w:rsidR="002B6478">
              <w:rPr>
                <w:rFonts w:ascii="Calibri" w:hAnsi="Calibri" w:cs="Calibri"/>
                <w:sz w:val="22"/>
                <w:szCs w:val="22"/>
              </w:rPr>
              <w:t>T</w:t>
            </w:r>
            <w:r w:rsidRPr="00ED51B2">
              <w:rPr>
                <w:rFonts w:ascii="Calibri" w:hAnsi="Calibri" w:cs="Calibri"/>
                <w:sz w:val="22"/>
                <w:szCs w:val="22"/>
              </w:rPr>
              <w:t xml:space="preserve">eacher of the </w:t>
            </w:r>
            <w:r w:rsidR="002B6478">
              <w:rPr>
                <w:rFonts w:ascii="Calibri" w:hAnsi="Calibri" w:cs="Calibri"/>
                <w:sz w:val="22"/>
                <w:szCs w:val="22"/>
              </w:rPr>
              <w:t>D</w:t>
            </w:r>
            <w:r w:rsidRPr="00ED51B2">
              <w:rPr>
                <w:rFonts w:ascii="Calibri" w:hAnsi="Calibri" w:cs="Calibri"/>
                <w:sz w:val="22"/>
                <w:szCs w:val="22"/>
              </w:rPr>
              <w:t xml:space="preserve">eaf or </w:t>
            </w:r>
            <w:r w:rsidR="006213DD">
              <w:rPr>
                <w:rFonts w:ascii="Calibri" w:hAnsi="Calibri" w:cs="Calibri"/>
                <w:sz w:val="22"/>
                <w:szCs w:val="22"/>
              </w:rPr>
              <w:t xml:space="preserve">QTVI.  </w:t>
            </w:r>
            <w:r w:rsidRPr="00ED51B2">
              <w:rPr>
                <w:rFonts w:ascii="Calibri" w:hAnsi="Calibri" w:cs="Calibri"/>
                <w:sz w:val="22"/>
                <w:szCs w:val="22"/>
              </w:rPr>
              <w:t xml:space="preserve">These specialists may visit families at home to provide practical support, answering questions and clarifying needs </w:t>
            </w:r>
          </w:p>
          <w:p w:rsidR="00A9702F" w:rsidRPr="00ED51B2" w:rsidRDefault="00A9702F" w:rsidP="00A9702F">
            <w:pPr>
              <w:pStyle w:val="Default"/>
              <w:spacing w:before="40" w:after="40"/>
              <w:ind w:left="142" w:hanging="142"/>
              <w:rPr>
                <w:rFonts w:ascii="Calibri" w:hAnsi="Calibri" w:cs="Calibri"/>
                <w:sz w:val="22"/>
                <w:szCs w:val="22"/>
              </w:rPr>
            </w:pPr>
            <w:r w:rsidRPr="00ED51B2">
              <w:rPr>
                <w:rFonts w:ascii="Calibri" w:hAnsi="Calibri" w:cs="Calibri"/>
                <w:sz w:val="22"/>
                <w:szCs w:val="22"/>
              </w:rPr>
              <w:t xml:space="preserve">• training for parents in using early learning programmes to promote play, communication and language development </w:t>
            </w:r>
          </w:p>
          <w:p w:rsidR="00A9702F" w:rsidRDefault="00A9702F" w:rsidP="00A9702F">
            <w:pPr>
              <w:pStyle w:val="Default"/>
              <w:spacing w:before="40" w:after="40"/>
              <w:rPr>
                <w:rFonts w:ascii="Calibri" w:hAnsi="Calibri" w:cs="Calibri"/>
                <w:sz w:val="22"/>
                <w:szCs w:val="22"/>
              </w:rPr>
            </w:pPr>
            <w:r w:rsidRPr="00ED51B2">
              <w:rPr>
                <w:rFonts w:ascii="Calibri" w:hAnsi="Calibri" w:cs="Calibri"/>
                <w:sz w:val="22"/>
                <w:szCs w:val="22"/>
              </w:rPr>
              <w:t>• home-based programmes</w:t>
            </w:r>
            <w:r w:rsidR="006213DD">
              <w:rPr>
                <w:rFonts w:ascii="Calibri" w:hAnsi="Calibri" w:cs="Calibri"/>
                <w:sz w:val="22"/>
                <w:szCs w:val="22"/>
              </w:rPr>
              <w:t xml:space="preserve"> […] </w:t>
            </w:r>
            <w:r w:rsidRPr="00ED51B2">
              <w:rPr>
                <w:rFonts w:ascii="Calibri" w:hAnsi="Calibri" w:cs="Calibri"/>
                <w:sz w:val="22"/>
                <w:szCs w:val="22"/>
              </w:rPr>
              <w:t xml:space="preserve">which offer a carefully structured system to help parents support their child’s early </w:t>
            </w:r>
            <w:r w:rsidRPr="00ED51B2">
              <w:rPr>
                <w:rFonts w:ascii="Calibri" w:hAnsi="Calibri" w:cs="Calibri"/>
                <w:sz w:val="22"/>
                <w:szCs w:val="22"/>
              </w:rPr>
              <w:lastRenderedPageBreak/>
              <w:t xml:space="preserve">learning and development </w:t>
            </w:r>
          </w:p>
          <w:p w:rsidR="00A9702F" w:rsidRDefault="00A9702F" w:rsidP="00A9702F">
            <w:pPr>
              <w:pStyle w:val="Default"/>
              <w:spacing w:before="40" w:after="40"/>
              <w:rPr>
                <w:rFonts w:ascii="Calibri" w:hAnsi="Calibri" w:cs="Calibri"/>
                <w:sz w:val="22"/>
                <w:szCs w:val="22"/>
              </w:rPr>
            </w:pPr>
          </w:p>
          <w:p w:rsidR="00A9702F" w:rsidRDefault="00A9702F" w:rsidP="00A9702F">
            <w:pPr>
              <w:pStyle w:val="Default"/>
              <w:spacing w:before="40" w:after="40"/>
              <w:rPr>
                <w:rFonts w:ascii="Calibri" w:hAnsi="Calibri" w:cs="Calibri"/>
                <w:sz w:val="22"/>
                <w:szCs w:val="22"/>
              </w:rPr>
            </w:pPr>
          </w:p>
          <w:p w:rsidR="00A9702F" w:rsidRDefault="00A9702F" w:rsidP="00A9702F">
            <w:pPr>
              <w:pStyle w:val="Default"/>
              <w:spacing w:before="40" w:after="40"/>
              <w:rPr>
                <w:rFonts w:ascii="Calibri" w:hAnsi="Calibri" w:cs="Calibri"/>
                <w:sz w:val="22"/>
                <w:szCs w:val="22"/>
              </w:rPr>
            </w:pPr>
          </w:p>
          <w:p w:rsidR="00A9702F" w:rsidRDefault="00A9702F" w:rsidP="00A9702F">
            <w:pPr>
              <w:pStyle w:val="Default"/>
              <w:spacing w:before="40" w:after="40"/>
              <w:rPr>
                <w:rFonts w:ascii="Calibri" w:hAnsi="Calibri" w:cs="Calibri"/>
                <w:sz w:val="22"/>
                <w:szCs w:val="22"/>
              </w:rPr>
            </w:pPr>
          </w:p>
          <w:p w:rsidR="00A9702F" w:rsidRPr="00ED51B2" w:rsidRDefault="00A9702F" w:rsidP="00A9702F">
            <w:pPr>
              <w:pStyle w:val="Default"/>
              <w:spacing w:before="40" w:after="40"/>
              <w:rPr>
                <w:rFonts w:cs="Calibri"/>
                <w:b/>
                <w:sz w:val="22"/>
                <w:szCs w:val="22"/>
              </w:rPr>
            </w:pPr>
          </w:p>
        </w:tc>
        <w:tc>
          <w:tcPr>
            <w:tcW w:w="1842" w:type="dxa"/>
          </w:tcPr>
          <w:p w:rsidR="00A9702F" w:rsidRPr="00ED51B2" w:rsidRDefault="006213DD" w:rsidP="00A9702F">
            <w:pPr>
              <w:spacing w:before="40" w:after="40"/>
              <w:rPr>
                <w:rFonts w:cs="Calibri"/>
                <w:sz w:val="22"/>
                <w:szCs w:val="22"/>
              </w:rPr>
            </w:pPr>
            <w:r>
              <w:rPr>
                <w:rFonts w:cs="Calibri"/>
                <w:sz w:val="22"/>
                <w:szCs w:val="22"/>
              </w:rPr>
              <w:lastRenderedPageBreak/>
              <w:t>SEND CoP 2015,</w:t>
            </w:r>
          </w:p>
          <w:p w:rsidR="00A9702F" w:rsidRPr="00ED51B2" w:rsidRDefault="00A9702F" w:rsidP="00A9702F">
            <w:pPr>
              <w:spacing w:before="40" w:after="40"/>
              <w:rPr>
                <w:rFonts w:cs="Calibri"/>
                <w:sz w:val="22"/>
                <w:szCs w:val="22"/>
              </w:rPr>
            </w:pPr>
            <w:r w:rsidRPr="00ED51B2">
              <w:rPr>
                <w:rFonts w:cs="Calibri"/>
                <w:sz w:val="22"/>
                <w:szCs w:val="22"/>
              </w:rPr>
              <w:t>Para 5.16</w:t>
            </w:r>
          </w:p>
          <w:p w:rsidR="00A9702F" w:rsidRPr="00ED51B2" w:rsidRDefault="00A9702F" w:rsidP="00ED51B2">
            <w:pPr>
              <w:spacing w:before="40" w:after="40"/>
              <w:rPr>
                <w:rFonts w:cs="Calibri"/>
                <w:sz w:val="22"/>
                <w:szCs w:val="22"/>
              </w:rPr>
            </w:pPr>
          </w:p>
        </w:tc>
        <w:tc>
          <w:tcPr>
            <w:tcW w:w="6521" w:type="dxa"/>
          </w:tcPr>
          <w:p w:rsidR="00A9702F" w:rsidRPr="00ED51B2" w:rsidRDefault="00A9702F" w:rsidP="00ED51B2">
            <w:pPr>
              <w:spacing w:before="40" w:after="40"/>
              <w:rPr>
                <w:rFonts w:cs="Calibri"/>
                <w:sz w:val="22"/>
                <w:szCs w:val="22"/>
              </w:rPr>
            </w:pPr>
          </w:p>
        </w:tc>
        <w:tc>
          <w:tcPr>
            <w:tcW w:w="1134" w:type="dxa"/>
          </w:tcPr>
          <w:p w:rsidR="00A9702F" w:rsidRPr="00ED51B2" w:rsidRDefault="00A9702F" w:rsidP="00ED51B2">
            <w:pPr>
              <w:spacing w:before="40" w:after="40"/>
              <w:jc w:val="center"/>
              <w:rPr>
                <w:rFonts w:cs="Calibri"/>
                <w:sz w:val="22"/>
                <w:szCs w:val="22"/>
              </w:rPr>
            </w:pPr>
          </w:p>
        </w:tc>
      </w:tr>
      <w:tr w:rsidR="00A9702F" w:rsidRPr="00ED51B2" w:rsidTr="00B56F78">
        <w:tc>
          <w:tcPr>
            <w:tcW w:w="5637" w:type="dxa"/>
          </w:tcPr>
          <w:p w:rsidR="00A9702F" w:rsidRPr="00ED51B2" w:rsidRDefault="00A9702F" w:rsidP="006213DD">
            <w:pPr>
              <w:pStyle w:val="Default"/>
              <w:spacing w:before="40" w:after="40"/>
              <w:rPr>
                <w:rFonts w:ascii="Calibri" w:hAnsi="Calibri" w:cs="Calibri"/>
                <w:sz w:val="22"/>
                <w:szCs w:val="22"/>
              </w:rPr>
            </w:pPr>
            <w:r w:rsidRPr="00ED51B2">
              <w:rPr>
                <w:rFonts w:ascii="Calibri" w:hAnsi="Calibri" w:cs="Calibri"/>
                <w:sz w:val="22"/>
                <w:szCs w:val="22"/>
              </w:rPr>
              <w:lastRenderedPageBreak/>
              <w:t>For very young children</w:t>
            </w:r>
            <w:r w:rsidR="006213DD">
              <w:rPr>
                <w:rFonts w:ascii="Calibri" w:hAnsi="Calibri" w:cs="Calibri"/>
                <w:sz w:val="22"/>
                <w:szCs w:val="22"/>
              </w:rPr>
              <w:t xml:space="preserve">, LAs </w:t>
            </w:r>
            <w:r w:rsidRPr="00ED51B2">
              <w:rPr>
                <w:rFonts w:ascii="Calibri" w:hAnsi="Calibri" w:cs="Calibri"/>
                <w:sz w:val="22"/>
                <w:szCs w:val="22"/>
              </w:rPr>
              <w:t xml:space="preserve">should consider commissioning the provision of home-based programmes such as Portage, or peripatetic services for children with hearing or vision impairment. Parents should be fully involved in making decisions about the nature of the help and support that they would like to receive </w:t>
            </w:r>
          </w:p>
        </w:tc>
        <w:tc>
          <w:tcPr>
            <w:tcW w:w="1842" w:type="dxa"/>
          </w:tcPr>
          <w:p w:rsidR="00A9702F" w:rsidRPr="00ED51B2" w:rsidRDefault="006213DD" w:rsidP="00A9702F">
            <w:pPr>
              <w:spacing w:before="40" w:after="40"/>
              <w:rPr>
                <w:rFonts w:cs="Calibri"/>
                <w:sz w:val="22"/>
                <w:szCs w:val="22"/>
              </w:rPr>
            </w:pPr>
            <w:r>
              <w:rPr>
                <w:rFonts w:cs="Calibri"/>
                <w:sz w:val="22"/>
                <w:szCs w:val="22"/>
              </w:rPr>
              <w:t>SEND CoP 2015,</w:t>
            </w:r>
          </w:p>
          <w:p w:rsidR="00A9702F" w:rsidRPr="00ED51B2" w:rsidRDefault="00A9702F" w:rsidP="00A9702F">
            <w:pPr>
              <w:spacing w:before="40" w:after="40"/>
              <w:rPr>
                <w:rFonts w:cs="Calibri"/>
                <w:sz w:val="22"/>
                <w:szCs w:val="22"/>
              </w:rPr>
            </w:pPr>
            <w:r w:rsidRPr="00ED51B2">
              <w:rPr>
                <w:rFonts w:cs="Calibri"/>
                <w:sz w:val="22"/>
                <w:szCs w:val="22"/>
              </w:rPr>
              <w:t>Para 9.144</w:t>
            </w:r>
          </w:p>
          <w:p w:rsidR="00A9702F" w:rsidRPr="00ED51B2" w:rsidRDefault="00A9702F" w:rsidP="00ED51B2">
            <w:pPr>
              <w:spacing w:before="40" w:after="40"/>
              <w:rPr>
                <w:rFonts w:cs="Calibri"/>
                <w:sz w:val="22"/>
                <w:szCs w:val="22"/>
              </w:rPr>
            </w:pPr>
          </w:p>
        </w:tc>
        <w:tc>
          <w:tcPr>
            <w:tcW w:w="6521" w:type="dxa"/>
          </w:tcPr>
          <w:p w:rsidR="00A9702F" w:rsidRPr="00ED51B2" w:rsidRDefault="00A9702F" w:rsidP="00ED51B2">
            <w:pPr>
              <w:spacing w:before="40" w:after="40"/>
              <w:rPr>
                <w:rFonts w:cs="Calibri"/>
                <w:sz w:val="22"/>
                <w:szCs w:val="22"/>
              </w:rPr>
            </w:pPr>
          </w:p>
        </w:tc>
        <w:tc>
          <w:tcPr>
            <w:tcW w:w="1134" w:type="dxa"/>
          </w:tcPr>
          <w:p w:rsidR="00A9702F" w:rsidRPr="00ED51B2" w:rsidRDefault="00A9702F" w:rsidP="00ED51B2">
            <w:pPr>
              <w:spacing w:before="40" w:after="40"/>
              <w:jc w:val="center"/>
              <w:rPr>
                <w:rFonts w:cs="Calibri"/>
                <w:sz w:val="22"/>
                <w:szCs w:val="22"/>
              </w:rPr>
            </w:pPr>
          </w:p>
        </w:tc>
      </w:tr>
      <w:tr w:rsidR="00A9702F" w:rsidRPr="00ED51B2" w:rsidTr="00B56F78">
        <w:tc>
          <w:tcPr>
            <w:tcW w:w="5637" w:type="dxa"/>
          </w:tcPr>
          <w:p w:rsidR="00A9702F" w:rsidRPr="00ED51B2" w:rsidRDefault="00A9702F" w:rsidP="00A9702F">
            <w:pPr>
              <w:spacing w:before="40" w:after="40"/>
              <w:rPr>
                <w:rFonts w:cs="Calibri"/>
                <w:sz w:val="22"/>
                <w:szCs w:val="22"/>
              </w:rPr>
            </w:pPr>
            <w:r w:rsidRPr="00ED51B2">
              <w:rPr>
                <w:rFonts w:cs="Calibri"/>
                <w:sz w:val="22"/>
                <w:szCs w:val="22"/>
              </w:rPr>
              <w:t xml:space="preserve">Where a child continues to make less than expected progress </w:t>
            </w:r>
            <w:r>
              <w:rPr>
                <w:rFonts w:cs="Calibri"/>
                <w:sz w:val="22"/>
                <w:szCs w:val="22"/>
              </w:rPr>
              <w:t xml:space="preserve">[…] </w:t>
            </w:r>
            <w:r w:rsidRPr="00ED51B2">
              <w:rPr>
                <w:rFonts w:cs="Calibri"/>
                <w:sz w:val="22"/>
                <w:szCs w:val="22"/>
              </w:rPr>
              <w:t>practitioners should consider involving specialist teachers, who may be able to identify effective strategies, equipment, programmes or other interventions to enable the child to make progress towards the desired learning and development outcomes</w:t>
            </w:r>
          </w:p>
        </w:tc>
        <w:tc>
          <w:tcPr>
            <w:tcW w:w="1842" w:type="dxa"/>
          </w:tcPr>
          <w:p w:rsidR="00A9702F" w:rsidRPr="00ED51B2" w:rsidRDefault="006213DD" w:rsidP="00ED51B2">
            <w:pPr>
              <w:spacing w:before="40" w:after="40"/>
              <w:rPr>
                <w:rFonts w:cs="Calibri"/>
                <w:sz w:val="22"/>
                <w:szCs w:val="22"/>
              </w:rPr>
            </w:pPr>
            <w:r>
              <w:rPr>
                <w:rFonts w:cs="Calibri"/>
                <w:sz w:val="22"/>
                <w:szCs w:val="22"/>
              </w:rPr>
              <w:t xml:space="preserve">SEND CoP 2015, </w:t>
            </w:r>
            <w:r w:rsidR="00A9702F" w:rsidRPr="00ED51B2">
              <w:rPr>
                <w:rFonts w:cs="Calibri"/>
                <w:sz w:val="22"/>
                <w:szCs w:val="22"/>
              </w:rPr>
              <w:t>Para 5.48</w:t>
            </w:r>
          </w:p>
        </w:tc>
        <w:tc>
          <w:tcPr>
            <w:tcW w:w="6521" w:type="dxa"/>
          </w:tcPr>
          <w:p w:rsidR="00A9702F" w:rsidRPr="00ED51B2" w:rsidRDefault="00A9702F" w:rsidP="00ED51B2">
            <w:pPr>
              <w:spacing w:before="40" w:after="40"/>
              <w:rPr>
                <w:rFonts w:cs="Calibri"/>
                <w:sz w:val="22"/>
                <w:szCs w:val="22"/>
              </w:rPr>
            </w:pPr>
          </w:p>
        </w:tc>
        <w:tc>
          <w:tcPr>
            <w:tcW w:w="1134" w:type="dxa"/>
          </w:tcPr>
          <w:p w:rsidR="00A9702F" w:rsidRPr="00ED51B2" w:rsidRDefault="00A9702F" w:rsidP="00ED51B2">
            <w:pPr>
              <w:spacing w:before="40" w:after="40"/>
              <w:jc w:val="center"/>
              <w:rPr>
                <w:rFonts w:cs="Calibri"/>
                <w:sz w:val="22"/>
                <w:szCs w:val="22"/>
              </w:rPr>
            </w:pPr>
          </w:p>
        </w:tc>
      </w:tr>
      <w:tr w:rsidR="00A9702F" w:rsidRPr="00ED51B2" w:rsidTr="00B56F78">
        <w:tc>
          <w:tcPr>
            <w:tcW w:w="5637" w:type="dxa"/>
          </w:tcPr>
          <w:p w:rsidR="00A9702F" w:rsidRPr="00ED51B2" w:rsidRDefault="00A9702F" w:rsidP="00A9702F">
            <w:pPr>
              <w:spacing w:before="40" w:after="40"/>
              <w:rPr>
                <w:rFonts w:cs="Calibri"/>
                <w:b/>
                <w:sz w:val="22"/>
                <w:szCs w:val="22"/>
              </w:rPr>
            </w:pPr>
            <w:r w:rsidRPr="00ED51B2">
              <w:rPr>
                <w:rFonts w:cs="Calibri"/>
                <w:b/>
                <w:sz w:val="22"/>
                <w:szCs w:val="22"/>
              </w:rPr>
              <w:t>Early Support</w:t>
            </w:r>
          </w:p>
          <w:p w:rsidR="00A9702F" w:rsidRDefault="00A9702F" w:rsidP="00A9702F">
            <w:pPr>
              <w:spacing w:before="40" w:after="40"/>
              <w:rPr>
                <w:rFonts w:cs="Calibri"/>
                <w:sz w:val="22"/>
                <w:szCs w:val="22"/>
              </w:rPr>
            </w:pPr>
            <w:r w:rsidRPr="00ED51B2">
              <w:rPr>
                <w:rFonts w:cs="Calibri"/>
                <w:sz w:val="22"/>
                <w:szCs w:val="22"/>
              </w:rPr>
              <w:t>It is particularly important in the early years that there is no delay in making any necessary special educational provision. Delay at this stage can give rise to learning difficulty and subsequently to loss of self-esteem, frustration in learning and to behaviour difficulties. Early action to address identified needs is critical to the future progress and improved outcomes that are essential in helping the child to prepare for adult life</w:t>
            </w:r>
          </w:p>
          <w:p w:rsidR="00A9702F" w:rsidRDefault="00A9702F" w:rsidP="00A9702F">
            <w:pPr>
              <w:spacing w:before="40" w:after="40"/>
              <w:rPr>
                <w:rFonts w:cs="Calibri"/>
                <w:sz w:val="22"/>
                <w:szCs w:val="22"/>
              </w:rPr>
            </w:pPr>
          </w:p>
          <w:p w:rsidR="00A9702F" w:rsidRDefault="00A9702F" w:rsidP="00A9702F">
            <w:pPr>
              <w:spacing w:before="40" w:after="40"/>
              <w:rPr>
                <w:rFonts w:cs="Calibri"/>
                <w:sz w:val="22"/>
                <w:szCs w:val="22"/>
              </w:rPr>
            </w:pPr>
          </w:p>
          <w:p w:rsidR="00A9702F" w:rsidRDefault="00A9702F" w:rsidP="00A9702F">
            <w:pPr>
              <w:spacing w:before="40" w:after="40"/>
              <w:rPr>
                <w:rFonts w:cs="Calibri"/>
                <w:sz w:val="22"/>
                <w:szCs w:val="22"/>
              </w:rPr>
            </w:pPr>
          </w:p>
          <w:p w:rsidR="00A9702F" w:rsidRDefault="00A9702F" w:rsidP="00A9702F">
            <w:pPr>
              <w:spacing w:before="40" w:after="40"/>
              <w:rPr>
                <w:rFonts w:cs="Calibri"/>
                <w:sz w:val="22"/>
                <w:szCs w:val="22"/>
              </w:rPr>
            </w:pPr>
          </w:p>
          <w:p w:rsidR="00A9702F" w:rsidRDefault="00A9702F" w:rsidP="00A9702F">
            <w:pPr>
              <w:spacing w:before="40" w:after="40"/>
              <w:rPr>
                <w:rFonts w:cs="Calibri"/>
                <w:sz w:val="22"/>
                <w:szCs w:val="22"/>
              </w:rPr>
            </w:pPr>
          </w:p>
          <w:p w:rsidR="00A9702F" w:rsidRDefault="00A9702F" w:rsidP="00A9702F">
            <w:pPr>
              <w:spacing w:before="40" w:after="40"/>
              <w:rPr>
                <w:rFonts w:cs="Calibri"/>
                <w:sz w:val="22"/>
                <w:szCs w:val="22"/>
              </w:rPr>
            </w:pPr>
          </w:p>
          <w:p w:rsidR="00A9702F" w:rsidRDefault="00A9702F" w:rsidP="00A9702F">
            <w:pPr>
              <w:spacing w:before="40" w:after="40"/>
              <w:rPr>
                <w:rFonts w:cs="Calibri"/>
                <w:sz w:val="22"/>
                <w:szCs w:val="22"/>
              </w:rPr>
            </w:pPr>
          </w:p>
          <w:p w:rsidR="00A9702F" w:rsidRDefault="00A9702F" w:rsidP="00A9702F">
            <w:pPr>
              <w:spacing w:before="40" w:after="40"/>
              <w:rPr>
                <w:rFonts w:cs="Calibri"/>
                <w:sz w:val="22"/>
                <w:szCs w:val="22"/>
              </w:rPr>
            </w:pPr>
          </w:p>
          <w:p w:rsidR="00A9702F" w:rsidRDefault="00A9702F" w:rsidP="00A9702F">
            <w:pPr>
              <w:spacing w:before="40" w:after="40"/>
              <w:rPr>
                <w:rFonts w:cs="Calibri"/>
                <w:sz w:val="22"/>
                <w:szCs w:val="22"/>
              </w:rPr>
            </w:pPr>
          </w:p>
          <w:p w:rsidR="00A9702F" w:rsidRPr="00ED51B2" w:rsidRDefault="00A9702F" w:rsidP="00A9702F">
            <w:pPr>
              <w:spacing w:before="40" w:after="40"/>
              <w:rPr>
                <w:rFonts w:cs="Calibri"/>
                <w:b/>
                <w:sz w:val="22"/>
                <w:szCs w:val="22"/>
              </w:rPr>
            </w:pPr>
          </w:p>
        </w:tc>
        <w:tc>
          <w:tcPr>
            <w:tcW w:w="1842" w:type="dxa"/>
          </w:tcPr>
          <w:p w:rsidR="006213DD" w:rsidRDefault="006213DD" w:rsidP="00ED51B2">
            <w:pPr>
              <w:spacing w:before="40" w:after="40"/>
              <w:rPr>
                <w:rFonts w:cs="Calibri"/>
                <w:sz w:val="22"/>
                <w:szCs w:val="22"/>
              </w:rPr>
            </w:pPr>
            <w:r>
              <w:rPr>
                <w:rFonts w:cs="Calibri"/>
                <w:sz w:val="22"/>
                <w:szCs w:val="22"/>
              </w:rPr>
              <w:lastRenderedPageBreak/>
              <w:t>SEND CoP 2015,</w:t>
            </w:r>
          </w:p>
          <w:p w:rsidR="00A9702F" w:rsidRPr="00ED51B2" w:rsidRDefault="00A9702F" w:rsidP="00ED51B2">
            <w:pPr>
              <w:spacing w:before="40" w:after="40"/>
              <w:rPr>
                <w:rFonts w:cs="Calibri"/>
                <w:sz w:val="22"/>
                <w:szCs w:val="22"/>
              </w:rPr>
            </w:pPr>
            <w:r w:rsidRPr="00ED51B2">
              <w:rPr>
                <w:rFonts w:cs="Calibri"/>
                <w:sz w:val="22"/>
                <w:szCs w:val="22"/>
              </w:rPr>
              <w:t>Para 5.36</w:t>
            </w:r>
          </w:p>
        </w:tc>
        <w:tc>
          <w:tcPr>
            <w:tcW w:w="6521" w:type="dxa"/>
          </w:tcPr>
          <w:p w:rsidR="00A9702F" w:rsidRPr="00ED51B2" w:rsidRDefault="00A9702F" w:rsidP="00ED51B2">
            <w:pPr>
              <w:spacing w:before="40" w:after="40"/>
              <w:rPr>
                <w:rFonts w:cs="Calibri"/>
                <w:sz w:val="22"/>
                <w:szCs w:val="22"/>
              </w:rPr>
            </w:pPr>
          </w:p>
        </w:tc>
        <w:tc>
          <w:tcPr>
            <w:tcW w:w="1134" w:type="dxa"/>
          </w:tcPr>
          <w:p w:rsidR="00A9702F" w:rsidRPr="00ED51B2" w:rsidRDefault="00A9702F" w:rsidP="00ED51B2">
            <w:pPr>
              <w:spacing w:before="40" w:after="40"/>
              <w:jc w:val="center"/>
              <w:rPr>
                <w:rFonts w:cs="Calibri"/>
                <w:sz w:val="22"/>
                <w:szCs w:val="22"/>
              </w:rPr>
            </w:pPr>
          </w:p>
        </w:tc>
      </w:tr>
      <w:tr w:rsidR="00A9702F" w:rsidRPr="00ED51B2" w:rsidTr="00B56F78">
        <w:tc>
          <w:tcPr>
            <w:tcW w:w="5637" w:type="dxa"/>
          </w:tcPr>
          <w:p w:rsidR="00A9702F" w:rsidRPr="00ED51B2" w:rsidRDefault="00A9702F" w:rsidP="00A9702F">
            <w:pPr>
              <w:pStyle w:val="BodyText"/>
              <w:spacing w:before="40" w:after="40"/>
              <w:rPr>
                <w:rFonts w:ascii="Calibri" w:hAnsi="Calibri" w:cs="Calibri"/>
                <w:b/>
                <w:bCs/>
                <w:lang w:eastAsia="en-GB"/>
              </w:rPr>
            </w:pPr>
            <w:r w:rsidRPr="00ED51B2">
              <w:rPr>
                <w:rFonts w:ascii="Calibri" w:hAnsi="Calibri" w:cs="Calibri"/>
                <w:b/>
                <w:bCs/>
                <w:lang w:eastAsia="en-GB"/>
              </w:rPr>
              <w:lastRenderedPageBreak/>
              <w:t>Newborn Hearing Screening</w:t>
            </w:r>
          </w:p>
          <w:p w:rsidR="00A9702F" w:rsidRPr="00ED51B2" w:rsidRDefault="00A9702F" w:rsidP="00A9702F">
            <w:pPr>
              <w:pStyle w:val="BodyText"/>
              <w:spacing w:before="40" w:after="40"/>
              <w:rPr>
                <w:rFonts w:ascii="Calibri" w:hAnsi="Calibri" w:cs="Calibri"/>
                <w:bCs/>
                <w:lang w:eastAsia="en-GB"/>
              </w:rPr>
            </w:pPr>
            <w:r w:rsidRPr="00ED51B2">
              <w:rPr>
                <w:rFonts w:ascii="Calibri" w:hAnsi="Calibri" w:cs="Calibri"/>
                <w:bCs/>
                <w:lang w:eastAsia="en-GB"/>
              </w:rPr>
              <w:t>Children’s Services (usually education) are notified within one working day of confirmation of PCHI</w:t>
            </w:r>
          </w:p>
          <w:p w:rsidR="00A9702F" w:rsidRPr="00ED51B2" w:rsidRDefault="00A9702F" w:rsidP="00A9702F">
            <w:pPr>
              <w:spacing w:before="40" w:after="40"/>
              <w:rPr>
                <w:rFonts w:cs="Calibri"/>
                <w:bCs/>
                <w:sz w:val="22"/>
                <w:szCs w:val="22"/>
              </w:rPr>
            </w:pPr>
            <w:r w:rsidRPr="00ED51B2">
              <w:rPr>
                <w:rFonts w:cs="Calibri"/>
                <w:bCs/>
                <w:sz w:val="22"/>
                <w:szCs w:val="22"/>
              </w:rPr>
              <w:t>Families are offered a visit within two working days of contact (year round)</w:t>
            </w:r>
          </w:p>
          <w:p w:rsidR="00A9702F" w:rsidRPr="00ED51B2" w:rsidRDefault="00A9702F" w:rsidP="00A9702F">
            <w:pPr>
              <w:spacing w:before="40" w:after="40"/>
              <w:rPr>
                <w:rFonts w:cs="Calibri"/>
                <w:bCs/>
                <w:sz w:val="22"/>
                <w:szCs w:val="22"/>
              </w:rPr>
            </w:pPr>
          </w:p>
          <w:p w:rsidR="00A9702F" w:rsidRPr="00ED51B2" w:rsidRDefault="00A9702F" w:rsidP="00A9702F">
            <w:pPr>
              <w:spacing w:before="40" w:after="40"/>
              <w:rPr>
                <w:rFonts w:cs="Calibri"/>
                <w:sz w:val="22"/>
                <w:szCs w:val="22"/>
              </w:rPr>
            </w:pPr>
            <w:r w:rsidRPr="00ED51B2">
              <w:rPr>
                <w:rFonts w:cs="Calibri"/>
                <w:sz w:val="22"/>
                <w:szCs w:val="22"/>
              </w:rPr>
              <w:t>All families of babies with confirmed PCHI are provided with an explanation of the full range of support available and are  given the Early Support publications: ‘Helping you choose: making informed choices for you and your child’ and ‘Information for Parents: Deafness</w:t>
            </w:r>
            <w:r w:rsidR="006213DD">
              <w:rPr>
                <w:rFonts w:cs="Calibri"/>
                <w:sz w:val="22"/>
                <w:szCs w:val="22"/>
              </w:rPr>
              <w:t>’</w:t>
            </w:r>
          </w:p>
        </w:tc>
        <w:tc>
          <w:tcPr>
            <w:tcW w:w="1842" w:type="dxa"/>
          </w:tcPr>
          <w:p w:rsidR="006213DD" w:rsidRDefault="00A9702F" w:rsidP="00A9702F">
            <w:pPr>
              <w:spacing w:before="40" w:after="40"/>
              <w:rPr>
                <w:rFonts w:cs="Calibri"/>
                <w:sz w:val="22"/>
                <w:szCs w:val="22"/>
              </w:rPr>
            </w:pPr>
            <w:r w:rsidRPr="00A9702F">
              <w:rPr>
                <w:rFonts w:cs="Calibri"/>
                <w:sz w:val="22"/>
                <w:szCs w:val="22"/>
              </w:rPr>
              <w:t>NHS Newborn Hearing Screening Standards</w:t>
            </w:r>
            <w:r w:rsidR="006213DD">
              <w:rPr>
                <w:rFonts w:cs="Calibri"/>
                <w:sz w:val="22"/>
                <w:szCs w:val="22"/>
              </w:rPr>
              <w:t>,</w:t>
            </w:r>
          </w:p>
          <w:p w:rsidR="00A9702F" w:rsidRPr="00ED51B2" w:rsidRDefault="00A9702F" w:rsidP="00A9702F">
            <w:pPr>
              <w:spacing w:before="40" w:after="40"/>
              <w:rPr>
                <w:rFonts w:cs="Calibri"/>
                <w:sz w:val="22"/>
                <w:szCs w:val="22"/>
              </w:rPr>
            </w:pPr>
            <w:r w:rsidRPr="00ED51B2">
              <w:rPr>
                <w:rFonts w:cs="Calibri"/>
                <w:sz w:val="22"/>
                <w:szCs w:val="22"/>
              </w:rPr>
              <w:t>Standard 21</w:t>
            </w:r>
            <w:r>
              <w:rPr>
                <w:rStyle w:val="FootnoteReference"/>
                <w:rFonts w:cs="Calibri"/>
                <w:sz w:val="22"/>
                <w:szCs w:val="22"/>
              </w:rPr>
              <w:footnoteReference w:id="10"/>
            </w:r>
          </w:p>
        </w:tc>
        <w:tc>
          <w:tcPr>
            <w:tcW w:w="6521" w:type="dxa"/>
          </w:tcPr>
          <w:p w:rsidR="00A9702F" w:rsidRPr="00ED51B2" w:rsidRDefault="00A9702F" w:rsidP="00ED51B2">
            <w:pPr>
              <w:spacing w:before="40" w:after="40"/>
              <w:rPr>
                <w:rFonts w:cs="Calibri"/>
                <w:sz w:val="22"/>
                <w:szCs w:val="22"/>
              </w:rPr>
            </w:pPr>
          </w:p>
        </w:tc>
        <w:tc>
          <w:tcPr>
            <w:tcW w:w="1134" w:type="dxa"/>
          </w:tcPr>
          <w:p w:rsidR="00A9702F" w:rsidRPr="00ED51B2" w:rsidRDefault="00A9702F" w:rsidP="00ED51B2">
            <w:pPr>
              <w:spacing w:before="40" w:after="40"/>
              <w:jc w:val="center"/>
              <w:rPr>
                <w:rFonts w:cs="Calibri"/>
                <w:sz w:val="22"/>
                <w:szCs w:val="22"/>
              </w:rPr>
            </w:pPr>
          </w:p>
        </w:tc>
      </w:tr>
      <w:tr w:rsidR="00ED51B2" w:rsidRPr="00ED51B2" w:rsidTr="00B56F78">
        <w:tc>
          <w:tcPr>
            <w:tcW w:w="5637" w:type="dxa"/>
          </w:tcPr>
          <w:p w:rsidR="00ED51B2" w:rsidRPr="00ED51B2" w:rsidRDefault="00ED51B2" w:rsidP="00ED51B2">
            <w:pPr>
              <w:spacing w:before="40" w:after="40"/>
              <w:rPr>
                <w:rFonts w:cs="Calibri"/>
                <w:b/>
                <w:sz w:val="22"/>
                <w:szCs w:val="22"/>
              </w:rPr>
            </w:pPr>
            <w:r w:rsidRPr="00ED51B2">
              <w:rPr>
                <w:rFonts w:cs="Calibri"/>
                <w:sz w:val="22"/>
                <w:szCs w:val="22"/>
              </w:rPr>
              <w:t>All families of babies with PCHI to be given information about the full range of communication approaches and supported in their choices, in accordance with the principles of Informed Choice</w:t>
            </w:r>
          </w:p>
        </w:tc>
        <w:tc>
          <w:tcPr>
            <w:tcW w:w="1842" w:type="dxa"/>
          </w:tcPr>
          <w:p w:rsidR="006213DD" w:rsidRDefault="00ED51B2" w:rsidP="00073CBA">
            <w:pPr>
              <w:spacing w:before="40" w:after="40"/>
              <w:rPr>
                <w:rFonts w:cs="Calibri"/>
                <w:sz w:val="22"/>
                <w:szCs w:val="22"/>
              </w:rPr>
            </w:pPr>
            <w:r w:rsidRPr="00ED51B2">
              <w:rPr>
                <w:rFonts w:cs="Calibri"/>
                <w:sz w:val="22"/>
                <w:szCs w:val="22"/>
              </w:rPr>
              <w:t>NHS Newborn Hearing Screening Standards</w:t>
            </w:r>
            <w:r w:rsidR="006213DD">
              <w:rPr>
                <w:rFonts w:cs="Calibri"/>
                <w:sz w:val="22"/>
                <w:szCs w:val="22"/>
              </w:rPr>
              <w:t>,</w:t>
            </w:r>
          </w:p>
          <w:p w:rsidR="00ED51B2" w:rsidRPr="00ED51B2" w:rsidRDefault="006213DD" w:rsidP="006213DD">
            <w:pPr>
              <w:spacing w:before="40" w:after="40"/>
              <w:rPr>
                <w:rFonts w:cs="Calibri"/>
                <w:sz w:val="22"/>
                <w:szCs w:val="22"/>
              </w:rPr>
            </w:pPr>
            <w:r>
              <w:rPr>
                <w:rFonts w:cs="Calibri"/>
                <w:sz w:val="22"/>
                <w:szCs w:val="22"/>
              </w:rPr>
              <w:t xml:space="preserve">Standard </w:t>
            </w:r>
            <w:r w:rsidR="00073CBA">
              <w:rPr>
                <w:rFonts w:cs="Calibri"/>
                <w:sz w:val="22"/>
                <w:szCs w:val="22"/>
              </w:rPr>
              <w:t>2</w:t>
            </w:r>
            <w:r w:rsidR="00ED51B2" w:rsidRPr="00ED51B2">
              <w:rPr>
                <w:rFonts w:cs="Calibri"/>
                <w:sz w:val="22"/>
                <w:szCs w:val="22"/>
              </w:rPr>
              <w:t>4</w:t>
            </w:r>
          </w:p>
        </w:tc>
        <w:tc>
          <w:tcPr>
            <w:tcW w:w="6521" w:type="dxa"/>
          </w:tcPr>
          <w:p w:rsidR="00ED51B2" w:rsidRPr="00ED51B2" w:rsidRDefault="00ED51B2" w:rsidP="00ED51B2">
            <w:pPr>
              <w:spacing w:before="40" w:after="40"/>
              <w:rPr>
                <w:rFonts w:cs="Calibri"/>
                <w:sz w:val="22"/>
                <w:szCs w:val="22"/>
              </w:rPr>
            </w:pPr>
          </w:p>
        </w:tc>
        <w:tc>
          <w:tcPr>
            <w:tcW w:w="1134" w:type="dxa"/>
          </w:tcPr>
          <w:p w:rsidR="00ED51B2" w:rsidRPr="00ED51B2" w:rsidRDefault="00ED51B2" w:rsidP="00ED51B2">
            <w:pPr>
              <w:spacing w:before="40" w:after="40"/>
              <w:jc w:val="center"/>
              <w:rPr>
                <w:rFonts w:cs="Calibri"/>
                <w:sz w:val="22"/>
                <w:szCs w:val="22"/>
              </w:rPr>
            </w:pPr>
          </w:p>
        </w:tc>
      </w:tr>
      <w:tr w:rsidR="00ED51B2" w:rsidRPr="00ED51B2" w:rsidTr="00B56F78">
        <w:tc>
          <w:tcPr>
            <w:tcW w:w="5637" w:type="dxa"/>
          </w:tcPr>
          <w:p w:rsidR="00ED51B2" w:rsidRPr="00ED51B2" w:rsidRDefault="00ED51B2" w:rsidP="00ED51B2">
            <w:pPr>
              <w:spacing w:before="40" w:after="40"/>
              <w:rPr>
                <w:rFonts w:cs="Calibri"/>
                <w:b/>
                <w:sz w:val="22"/>
                <w:szCs w:val="22"/>
              </w:rPr>
            </w:pPr>
            <w:r w:rsidRPr="00ED51B2">
              <w:rPr>
                <w:rFonts w:cs="Calibri"/>
                <w:b/>
                <w:sz w:val="22"/>
                <w:szCs w:val="22"/>
              </w:rPr>
              <w:t>Statutory EHC Assessment and Plans</w:t>
            </w:r>
          </w:p>
          <w:p w:rsidR="00ED51B2" w:rsidRDefault="00ED51B2" w:rsidP="00073CBA">
            <w:pPr>
              <w:pStyle w:val="Default"/>
              <w:spacing w:before="40" w:after="40"/>
              <w:rPr>
                <w:rFonts w:ascii="Calibri" w:hAnsi="Calibri" w:cs="Calibri"/>
                <w:sz w:val="22"/>
                <w:szCs w:val="22"/>
              </w:rPr>
            </w:pPr>
            <w:r w:rsidRPr="00ED51B2">
              <w:rPr>
                <w:rFonts w:ascii="Calibri" w:hAnsi="Calibri" w:cs="Calibri"/>
                <w:sz w:val="22"/>
                <w:szCs w:val="22"/>
              </w:rPr>
              <w:t>Sensory services have a key role in the statutory assessment, planning and review processes set out in Sections 36-62 of the CFA 201</w:t>
            </w:r>
            <w:r w:rsidR="0082784D">
              <w:rPr>
                <w:rFonts w:ascii="Calibri" w:hAnsi="Calibri" w:cs="Calibri"/>
                <w:sz w:val="22"/>
                <w:szCs w:val="22"/>
              </w:rPr>
              <w:t>4 and chapter 9 of the SEND CoP</w:t>
            </w:r>
          </w:p>
          <w:p w:rsidR="00073CBA" w:rsidRDefault="00073CBA" w:rsidP="00073CBA">
            <w:pPr>
              <w:pStyle w:val="Default"/>
              <w:spacing w:before="40" w:after="40"/>
              <w:rPr>
                <w:rFonts w:ascii="Calibri" w:hAnsi="Calibri" w:cs="Calibri"/>
                <w:sz w:val="22"/>
                <w:szCs w:val="22"/>
              </w:rPr>
            </w:pPr>
          </w:p>
          <w:p w:rsidR="00073CBA" w:rsidRDefault="00073CBA" w:rsidP="00073CBA">
            <w:pPr>
              <w:pStyle w:val="Default"/>
              <w:spacing w:before="40" w:after="40"/>
              <w:rPr>
                <w:rFonts w:ascii="Calibri" w:hAnsi="Calibri" w:cs="Calibri"/>
                <w:sz w:val="22"/>
                <w:szCs w:val="22"/>
              </w:rPr>
            </w:pPr>
          </w:p>
          <w:p w:rsidR="00073CBA" w:rsidRDefault="00073CBA" w:rsidP="00073CBA">
            <w:pPr>
              <w:pStyle w:val="Default"/>
              <w:spacing w:before="40" w:after="40"/>
              <w:rPr>
                <w:rFonts w:ascii="Calibri" w:hAnsi="Calibri" w:cs="Calibri"/>
                <w:sz w:val="22"/>
                <w:szCs w:val="22"/>
              </w:rPr>
            </w:pPr>
          </w:p>
          <w:p w:rsidR="00073CBA" w:rsidRDefault="00073CBA" w:rsidP="00073CBA">
            <w:pPr>
              <w:pStyle w:val="Default"/>
              <w:spacing w:before="40" w:after="40"/>
              <w:rPr>
                <w:rFonts w:ascii="Calibri" w:hAnsi="Calibri" w:cs="Calibri"/>
                <w:sz w:val="22"/>
                <w:szCs w:val="22"/>
              </w:rPr>
            </w:pPr>
          </w:p>
          <w:p w:rsidR="00073CBA" w:rsidRDefault="00073CBA" w:rsidP="00073CBA">
            <w:pPr>
              <w:pStyle w:val="Default"/>
              <w:spacing w:before="40" w:after="40"/>
              <w:rPr>
                <w:rFonts w:ascii="Calibri" w:hAnsi="Calibri" w:cs="Calibri"/>
                <w:sz w:val="22"/>
                <w:szCs w:val="22"/>
              </w:rPr>
            </w:pPr>
          </w:p>
          <w:p w:rsidR="00073CBA" w:rsidRDefault="00073CBA" w:rsidP="00073CBA">
            <w:pPr>
              <w:pStyle w:val="Default"/>
              <w:spacing w:before="40" w:after="40"/>
              <w:rPr>
                <w:rFonts w:ascii="Calibri" w:hAnsi="Calibri" w:cs="Calibri"/>
                <w:sz w:val="22"/>
                <w:szCs w:val="22"/>
              </w:rPr>
            </w:pPr>
          </w:p>
          <w:p w:rsidR="00073CBA" w:rsidRDefault="00073CBA" w:rsidP="00073CBA">
            <w:pPr>
              <w:pStyle w:val="Default"/>
              <w:spacing w:before="40" w:after="40"/>
              <w:rPr>
                <w:rFonts w:ascii="Calibri" w:hAnsi="Calibri" w:cs="Calibri"/>
                <w:sz w:val="22"/>
                <w:szCs w:val="22"/>
              </w:rPr>
            </w:pPr>
          </w:p>
          <w:p w:rsidR="00073CBA" w:rsidRPr="00ED51B2" w:rsidRDefault="00073CBA" w:rsidP="00073CBA">
            <w:pPr>
              <w:pStyle w:val="Default"/>
              <w:spacing w:before="40" w:after="40"/>
              <w:rPr>
                <w:rFonts w:ascii="Calibri" w:hAnsi="Calibri" w:cs="Calibri"/>
                <w:sz w:val="22"/>
                <w:szCs w:val="22"/>
              </w:rPr>
            </w:pPr>
          </w:p>
        </w:tc>
        <w:tc>
          <w:tcPr>
            <w:tcW w:w="1842" w:type="dxa"/>
          </w:tcPr>
          <w:p w:rsidR="00ED51B2" w:rsidRDefault="00ED51B2" w:rsidP="00ED51B2">
            <w:pPr>
              <w:spacing w:before="40" w:after="40"/>
              <w:rPr>
                <w:rFonts w:cs="Calibri"/>
                <w:sz w:val="22"/>
                <w:szCs w:val="22"/>
              </w:rPr>
            </w:pPr>
            <w:r w:rsidRPr="00ED51B2">
              <w:rPr>
                <w:rFonts w:cs="Calibri"/>
                <w:sz w:val="22"/>
                <w:szCs w:val="22"/>
              </w:rPr>
              <w:lastRenderedPageBreak/>
              <w:t>CFA</w:t>
            </w:r>
            <w:r w:rsidR="006213DD">
              <w:rPr>
                <w:rFonts w:cs="Calibri"/>
                <w:sz w:val="22"/>
                <w:szCs w:val="22"/>
              </w:rPr>
              <w:t xml:space="preserve"> 2014,</w:t>
            </w:r>
            <w:r w:rsidR="006213DD">
              <w:rPr>
                <w:rFonts w:cs="Calibri"/>
                <w:sz w:val="22"/>
                <w:szCs w:val="22"/>
              </w:rPr>
              <w:br/>
            </w:r>
            <w:r w:rsidRPr="00ED51B2">
              <w:rPr>
                <w:rFonts w:cs="Calibri"/>
                <w:sz w:val="22"/>
                <w:szCs w:val="22"/>
              </w:rPr>
              <w:t>Sections 36-62</w:t>
            </w:r>
          </w:p>
          <w:p w:rsidR="00ED51B2" w:rsidRPr="00ED51B2" w:rsidRDefault="006213DD" w:rsidP="00ED51B2">
            <w:pPr>
              <w:spacing w:before="40" w:after="40"/>
              <w:rPr>
                <w:rFonts w:cs="Calibri"/>
                <w:sz w:val="22"/>
                <w:szCs w:val="22"/>
              </w:rPr>
            </w:pPr>
            <w:r>
              <w:rPr>
                <w:rFonts w:cs="Calibri"/>
                <w:sz w:val="22"/>
                <w:szCs w:val="22"/>
              </w:rPr>
              <w:t>SEND CoP 2015,</w:t>
            </w:r>
            <w:r w:rsidR="00ED51B2" w:rsidRPr="00ED51B2">
              <w:rPr>
                <w:rFonts w:cs="Calibri"/>
                <w:sz w:val="22"/>
                <w:szCs w:val="22"/>
              </w:rPr>
              <w:t xml:space="preserve"> Chapter 9</w:t>
            </w:r>
          </w:p>
        </w:tc>
        <w:tc>
          <w:tcPr>
            <w:tcW w:w="6521" w:type="dxa"/>
          </w:tcPr>
          <w:p w:rsidR="00ED51B2" w:rsidRPr="00ED51B2" w:rsidRDefault="00ED51B2" w:rsidP="00ED51B2">
            <w:pPr>
              <w:spacing w:before="40" w:after="40"/>
              <w:rPr>
                <w:rFonts w:cs="Calibri"/>
                <w:sz w:val="22"/>
                <w:szCs w:val="22"/>
              </w:rPr>
            </w:pPr>
          </w:p>
        </w:tc>
        <w:tc>
          <w:tcPr>
            <w:tcW w:w="1134" w:type="dxa"/>
          </w:tcPr>
          <w:p w:rsidR="00ED51B2" w:rsidRPr="00ED51B2" w:rsidRDefault="00ED51B2" w:rsidP="00ED51B2">
            <w:pPr>
              <w:spacing w:before="40" w:after="40"/>
              <w:jc w:val="center"/>
              <w:rPr>
                <w:rFonts w:cs="Calibri"/>
                <w:sz w:val="22"/>
                <w:szCs w:val="22"/>
              </w:rPr>
            </w:pPr>
          </w:p>
        </w:tc>
      </w:tr>
      <w:tr w:rsidR="00073CBA" w:rsidRPr="00ED51B2" w:rsidTr="00B56F78">
        <w:tc>
          <w:tcPr>
            <w:tcW w:w="5637" w:type="dxa"/>
          </w:tcPr>
          <w:p w:rsidR="00073CBA" w:rsidRPr="00ED51B2" w:rsidRDefault="00073CBA" w:rsidP="00073CBA">
            <w:pPr>
              <w:pStyle w:val="Default"/>
              <w:spacing w:before="40" w:after="40"/>
              <w:rPr>
                <w:rFonts w:ascii="Calibri" w:hAnsi="Calibri" w:cs="Calibri"/>
                <w:b/>
                <w:sz w:val="22"/>
                <w:szCs w:val="22"/>
              </w:rPr>
            </w:pPr>
            <w:r w:rsidRPr="00ED51B2">
              <w:rPr>
                <w:rFonts w:ascii="Calibri" w:hAnsi="Calibri" w:cs="Calibri"/>
                <w:b/>
                <w:sz w:val="22"/>
                <w:szCs w:val="22"/>
              </w:rPr>
              <w:lastRenderedPageBreak/>
              <w:t>EHC Assessment</w:t>
            </w:r>
          </w:p>
          <w:p w:rsidR="00073CBA" w:rsidRPr="00ED51B2" w:rsidRDefault="00073CBA" w:rsidP="00073CBA">
            <w:pPr>
              <w:pStyle w:val="Default"/>
              <w:spacing w:before="40" w:after="40"/>
              <w:rPr>
                <w:rFonts w:ascii="Calibri" w:hAnsi="Calibri" w:cs="Calibri"/>
                <w:sz w:val="22"/>
                <w:szCs w:val="22"/>
              </w:rPr>
            </w:pPr>
            <w:r w:rsidRPr="00ED51B2">
              <w:rPr>
                <w:rFonts w:ascii="Calibri" w:hAnsi="Calibri" w:cs="Calibri"/>
                <w:sz w:val="22"/>
                <w:szCs w:val="22"/>
              </w:rPr>
              <w:t>In seeking advice and information</w:t>
            </w:r>
            <w:r w:rsidR="006213DD">
              <w:rPr>
                <w:rFonts w:ascii="Calibri" w:hAnsi="Calibri" w:cs="Calibri"/>
                <w:sz w:val="22"/>
                <w:szCs w:val="22"/>
              </w:rPr>
              <w:t xml:space="preserve"> </w:t>
            </w:r>
            <w:r w:rsidRPr="00ED51B2">
              <w:rPr>
                <w:rFonts w:ascii="Calibri" w:hAnsi="Calibri" w:cs="Calibri"/>
                <w:sz w:val="22"/>
                <w:szCs w:val="22"/>
              </w:rPr>
              <w:t xml:space="preserve">(for an EHC assessment) the </w:t>
            </w:r>
            <w:r w:rsidR="006213DD">
              <w:rPr>
                <w:rFonts w:ascii="Calibri" w:hAnsi="Calibri" w:cs="Calibri"/>
                <w:sz w:val="22"/>
                <w:szCs w:val="22"/>
              </w:rPr>
              <w:t xml:space="preserve">LA </w:t>
            </w:r>
            <w:r w:rsidRPr="00ED51B2">
              <w:rPr>
                <w:rFonts w:ascii="Calibri" w:hAnsi="Calibri" w:cs="Calibri"/>
                <w:sz w:val="22"/>
                <w:szCs w:val="22"/>
              </w:rPr>
              <w:t xml:space="preserve">should consider with professionals what advice they can contribute to ensure the assessment covers all the relevant education, health and care needs of the child or young person. </w:t>
            </w:r>
            <w:r w:rsidR="006213DD">
              <w:rPr>
                <w:rFonts w:ascii="Calibri" w:hAnsi="Calibri" w:cs="Calibri"/>
                <w:sz w:val="22"/>
                <w:szCs w:val="22"/>
              </w:rPr>
              <w:t xml:space="preserve"> </w:t>
            </w:r>
            <w:r w:rsidRPr="00ED51B2">
              <w:rPr>
                <w:rFonts w:ascii="Calibri" w:hAnsi="Calibri" w:cs="Calibri"/>
                <w:sz w:val="22"/>
                <w:szCs w:val="22"/>
              </w:rPr>
              <w:t xml:space="preserve">Advice and information </w:t>
            </w:r>
            <w:r w:rsidRPr="00ED51B2">
              <w:rPr>
                <w:rFonts w:ascii="Calibri" w:hAnsi="Calibri" w:cs="Calibri"/>
                <w:b/>
                <w:bCs/>
                <w:sz w:val="22"/>
                <w:szCs w:val="22"/>
              </w:rPr>
              <w:t xml:space="preserve">must </w:t>
            </w:r>
            <w:r w:rsidRPr="00ED51B2">
              <w:rPr>
                <w:rFonts w:ascii="Calibri" w:hAnsi="Calibri" w:cs="Calibri"/>
                <w:sz w:val="22"/>
                <w:szCs w:val="22"/>
              </w:rPr>
              <w:t>be sought as follows:</w:t>
            </w:r>
          </w:p>
          <w:p w:rsidR="00073CBA" w:rsidRPr="00ED51B2" w:rsidRDefault="00073CBA" w:rsidP="00073CBA">
            <w:pPr>
              <w:pStyle w:val="Default"/>
              <w:numPr>
                <w:ilvl w:val="0"/>
                <w:numId w:val="36"/>
              </w:numPr>
              <w:spacing w:before="40" w:after="40"/>
              <w:ind w:left="426" w:hanging="426"/>
              <w:rPr>
                <w:rFonts w:ascii="Calibri" w:hAnsi="Calibri" w:cs="Calibri"/>
                <w:b/>
                <w:sz w:val="22"/>
                <w:szCs w:val="22"/>
              </w:rPr>
            </w:pPr>
            <w:r w:rsidRPr="00ED51B2">
              <w:rPr>
                <w:rFonts w:ascii="Calibri" w:hAnsi="Calibri" w:cs="Calibri"/>
                <w:sz w:val="22"/>
                <w:szCs w:val="22"/>
              </w:rPr>
              <w:t xml:space="preserve">If the child or young person is either vision or hearing impaired, or both, the educational advice and information </w:t>
            </w:r>
            <w:r w:rsidRPr="00ED51B2">
              <w:rPr>
                <w:rFonts w:ascii="Calibri" w:hAnsi="Calibri" w:cs="Calibri"/>
                <w:b/>
                <w:bCs/>
                <w:sz w:val="22"/>
                <w:szCs w:val="22"/>
              </w:rPr>
              <w:t xml:space="preserve">must </w:t>
            </w:r>
            <w:r w:rsidRPr="00ED51B2">
              <w:rPr>
                <w:rFonts w:ascii="Calibri" w:hAnsi="Calibri" w:cs="Calibri"/>
                <w:sz w:val="22"/>
                <w:szCs w:val="22"/>
              </w:rPr>
              <w:t xml:space="preserve">be given after consultation with </w:t>
            </w:r>
            <w:r w:rsidRPr="00ED51B2">
              <w:rPr>
                <w:rFonts w:ascii="Calibri" w:hAnsi="Calibri" w:cs="Calibri"/>
                <w:b/>
                <w:sz w:val="22"/>
                <w:szCs w:val="22"/>
              </w:rPr>
              <w:t>a person who is qualified to teach pupils or students with these impairments</w:t>
            </w:r>
            <w:r w:rsidRPr="00ED51B2">
              <w:rPr>
                <w:rFonts w:ascii="Calibri" w:hAnsi="Calibri" w:cs="Calibri"/>
                <w:sz w:val="22"/>
                <w:szCs w:val="22"/>
              </w:rPr>
              <w:t xml:space="preserve"> </w:t>
            </w:r>
          </w:p>
        </w:tc>
        <w:tc>
          <w:tcPr>
            <w:tcW w:w="1842" w:type="dxa"/>
          </w:tcPr>
          <w:p w:rsidR="00073CBA" w:rsidRPr="00ED51B2" w:rsidRDefault="006213DD" w:rsidP="00073CBA">
            <w:pPr>
              <w:spacing w:before="40" w:after="40"/>
              <w:rPr>
                <w:rFonts w:cs="Calibri"/>
                <w:sz w:val="22"/>
                <w:szCs w:val="22"/>
              </w:rPr>
            </w:pPr>
            <w:r>
              <w:rPr>
                <w:rFonts w:cs="Calibri"/>
                <w:sz w:val="22"/>
                <w:szCs w:val="22"/>
              </w:rPr>
              <w:t>SEND CoP 2015,</w:t>
            </w:r>
          </w:p>
          <w:p w:rsidR="00073CBA" w:rsidRPr="00ED51B2" w:rsidRDefault="00073CBA" w:rsidP="00073CBA">
            <w:pPr>
              <w:spacing w:before="40" w:after="40"/>
              <w:rPr>
                <w:rFonts w:cs="Calibri"/>
                <w:sz w:val="22"/>
                <w:szCs w:val="22"/>
              </w:rPr>
            </w:pPr>
            <w:r w:rsidRPr="00ED51B2">
              <w:rPr>
                <w:rFonts w:cs="Calibri"/>
                <w:sz w:val="22"/>
                <w:szCs w:val="22"/>
              </w:rPr>
              <w:t>Para 9.49</w:t>
            </w:r>
          </w:p>
          <w:p w:rsidR="00073CBA" w:rsidRPr="00ED51B2" w:rsidRDefault="00073CBA" w:rsidP="00ED51B2">
            <w:pPr>
              <w:spacing w:before="40" w:after="40"/>
              <w:rPr>
                <w:rFonts w:cs="Calibri"/>
                <w:sz w:val="22"/>
                <w:szCs w:val="22"/>
              </w:rPr>
            </w:pPr>
          </w:p>
        </w:tc>
        <w:tc>
          <w:tcPr>
            <w:tcW w:w="6521" w:type="dxa"/>
          </w:tcPr>
          <w:p w:rsidR="00073CBA" w:rsidRPr="00ED51B2" w:rsidRDefault="00073CBA" w:rsidP="00ED51B2">
            <w:pPr>
              <w:spacing w:before="40" w:after="40"/>
              <w:rPr>
                <w:rFonts w:cs="Calibri"/>
                <w:sz w:val="22"/>
                <w:szCs w:val="22"/>
              </w:rPr>
            </w:pPr>
          </w:p>
        </w:tc>
        <w:tc>
          <w:tcPr>
            <w:tcW w:w="1134" w:type="dxa"/>
          </w:tcPr>
          <w:p w:rsidR="00073CBA" w:rsidRPr="00ED51B2" w:rsidRDefault="00073CBA" w:rsidP="00ED51B2">
            <w:pPr>
              <w:spacing w:before="40" w:after="40"/>
              <w:jc w:val="center"/>
              <w:rPr>
                <w:rFonts w:cs="Calibri"/>
                <w:sz w:val="22"/>
                <w:szCs w:val="22"/>
              </w:rPr>
            </w:pPr>
          </w:p>
        </w:tc>
      </w:tr>
      <w:tr w:rsidR="00073CBA" w:rsidRPr="00ED51B2" w:rsidTr="00B56F78">
        <w:tc>
          <w:tcPr>
            <w:tcW w:w="5637" w:type="dxa"/>
          </w:tcPr>
          <w:p w:rsidR="00073CBA" w:rsidRPr="00ED51B2" w:rsidRDefault="00073CBA" w:rsidP="00073CBA">
            <w:pPr>
              <w:spacing w:before="40" w:after="40"/>
              <w:rPr>
                <w:rFonts w:cs="Calibri"/>
                <w:sz w:val="22"/>
                <w:szCs w:val="22"/>
              </w:rPr>
            </w:pPr>
            <w:r w:rsidRPr="00ED51B2">
              <w:rPr>
                <w:rFonts w:cs="Calibri"/>
                <w:sz w:val="22"/>
                <w:szCs w:val="22"/>
              </w:rPr>
              <w:t>The CoP states that the purpose of information from the assessment is to:</w:t>
            </w:r>
          </w:p>
          <w:p w:rsidR="00073CBA" w:rsidRPr="00ED51B2" w:rsidRDefault="00073CBA" w:rsidP="00073CBA">
            <w:pPr>
              <w:pStyle w:val="Default"/>
              <w:spacing w:before="40" w:after="40"/>
              <w:ind w:left="360" w:hanging="360"/>
              <w:rPr>
                <w:rFonts w:ascii="Calibri" w:hAnsi="Calibri" w:cs="Calibri"/>
                <w:sz w:val="22"/>
                <w:szCs w:val="22"/>
              </w:rPr>
            </w:pPr>
            <w:r w:rsidRPr="00ED51B2">
              <w:rPr>
                <w:rFonts w:ascii="Calibri" w:hAnsi="Calibri" w:cs="Calibri"/>
                <w:sz w:val="22"/>
                <w:szCs w:val="22"/>
              </w:rPr>
              <w:t>•</w:t>
            </w:r>
            <w:r w:rsidR="006213DD">
              <w:rPr>
                <w:rFonts w:ascii="Calibri" w:hAnsi="Calibri" w:cs="Calibri"/>
                <w:sz w:val="22"/>
                <w:szCs w:val="22"/>
              </w:rPr>
              <w:tab/>
            </w:r>
            <w:r w:rsidRPr="00ED51B2">
              <w:rPr>
                <w:rFonts w:ascii="Calibri" w:hAnsi="Calibri" w:cs="Calibri"/>
                <w:sz w:val="22"/>
                <w:szCs w:val="22"/>
              </w:rPr>
              <w:t xml:space="preserve">establish and record the views, interests and aspirations of the parents and child or young person </w:t>
            </w:r>
          </w:p>
          <w:p w:rsidR="00073CBA" w:rsidRPr="00ED51B2" w:rsidRDefault="00073CBA" w:rsidP="00073CBA">
            <w:pPr>
              <w:pStyle w:val="Default"/>
              <w:spacing w:before="40" w:after="40"/>
              <w:ind w:left="360" w:hanging="360"/>
              <w:rPr>
                <w:rFonts w:ascii="Calibri" w:hAnsi="Calibri" w:cs="Calibri"/>
                <w:sz w:val="22"/>
                <w:szCs w:val="22"/>
              </w:rPr>
            </w:pPr>
            <w:r w:rsidRPr="00ED51B2">
              <w:rPr>
                <w:rFonts w:ascii="Calibri" w:hAnsi="Calibri" w:cs="Calibri"/>
                <w:sz w:val="22"/>
                <w:szCs w:val="22"/>
              </w:rPr>
              <w:t>•</w:t>
            </w:r>
            <w:r w:rsidR="006213DD">
              <w:rPr>
                <w:rFonts w:ascii="Calibri" w:hAnsi="Calibri" w:cs="Calibri"/>
                <w:sz w:val="22"/>
                <w:szCs w:val="22"/>
              </w:rPr>
              <w:tab/>
            </w:r>
            <w:r w:rsidRPr="00ED51B2">
              <w:rPr>
                <w:rFonts w:ascii="Calibri" w:hAnsi="Calibri" w:cs="Calibri"/>
                <w:sz w:val="22"/>
                <w:szCs w:val="22"/>
              </w:rPr>
              <w:t xml:space="preserve">provide a full description of the child or young person’s special educational needs and any health and social care needs </w:t>
            </w:r>
          </w:p>
          <w:p w:rsidR="00073CBA" w:rsidRPr="00ED51B2" w:rsidRDefault="00073CBA" w:rsidP="00073CBA">
            <w:pPr>
              <w:pStyle w:val="Default"/>
              <w:spacing w:before="40" w:after="40"/>
              <w:ind w:left="360" w:hanging="360"/>
              <w:rPr>
                <w:rFonts w:ascii="Calibri" w:hAnsi="Calibri" w:cs="Calibri"/>
                <w:sz w:val="22"/>
                <w:szCs w:val="22"/>
              </w:rPr>
            </w:pPr>
            <w:r w:rsidRPr="00ED51B2">
              <w:rPr>
                <w:rFonts w:ascii="Calibri" w:hAnsi="Calibri" w:cs="Calibri"/>
                <w:sz w:val="22"/>
                <w:szCs w:val="22"/>
              </w:rPr>
              <w:t>•</w:t>
            </w:r>
            <w:r w:rsidR="006213DD">
              <w:rPr>
                <w:rFonts w:ascii="Calibri" w:hAnsi="Calibri" w:cs="Calibri"/>
                <w:sz w:val="22"/>
                <w:szCs w:val="22"/>
              </w:rPr>
              <w:tab/>
            </w:r>
            <w:r w:rsidRPr="00ED51B2">
              <w:rPr>
                <w:rFonts w:ascii="Calibri" w:hAnsi="Calibri" w:cs="Calibri"/>
                <w:sz w:val="22"/>
                <w:szCs w:val="22"/>
              </w:rPr>
              <w:t xml:space="preserve">establish outcomes across education, health and social care based on the child or young person’s needs and aspirations </w:t>
            </w:r>
          </w:p>
          <w:p w:rsidR="00073CBA" w:rsidRPr="00ED51B2" w:rsidRDefault="00073CBA" w:rsidP="006213DD">
            <w:pPr>
              <w:pStyle w:val="Default"/>
              <w:spacing w:before="40" w:after="40"/>
              <w:ind w:left="360" w:hanging="360"/>
              <w:rPr>
                <w:rFonts w:cs="Calibri"/>
                <w:sz w:val="22"/>
                <w:szCs w:val="22"/>
              </w:rPr>
            </w:pPr>
            <w:r w:rsidRPr="00ED51B2">
              <w:rPr>
                <w:rFonts w:ascii="Calibri" w:hAnsi="Calibri" w:cs="Calibri"/>
                <w:sz w:val="22"/>
                <w:szCs w:val="22"/>
              </w:rPr>
              <w:lastRenderedPageBreak/>
              <w:t>•</w:t>
            </w:r>
            <w:r w:rsidR="006213DD">
              <w:rPr>
                <w:rFonts w:ascii="Calibri" w:hAnsi="Calibri" w:cs="Calibri"/>
                <w:sz w:val="22"/>
                <w:szCs w:val="22"/>
              </w:rPr>
              <w:tab/>
            </w:r>
            <w:r w:rsidRPr="00ED51B2">
              <w:rPr>
                <w:rFonts w:ascii="Calibri" w:hAnsi="Calibri" w:cs="Calibri"/>
                <w:sz w:val="22"/>
                <w:szCs w:val="22"/>
              </w:rPr>
              <w:t xml:space="preserve">specify the provision required and how education, health and care services will work together to meet the child or young person’s needs and support the achievement of the agreed outcomes </w:t>
            </w:r>
          </w:p>
        </w:tc>
        <w:tc>
          <w:tcPr>
            <w:tcW w:w="1842" w:type="dxa"/>
          </w:tcPr>
          <w:p w:rsidR="00073CBA" w:rsidRPr="00ED51B2" w:rsidRDefault="006213DD" w:rsidP="00073CBA">
            <w:pPr>
              <w:spacing w:before="40" w:after="40"/>
              <w:rPr>
                <w:rFonts w:cs="Calibri"/>
                <w:sz w:val="22"/>
                <w:szCs w:val="22"/>
              </w:rPr>
            </w:pPr>
            <w:r>
              <w:rPr>
                <w:rFonts w:cs="Calibri"/>
                <w:sz w:val="22"/>
                <w:szCs w:val="22"/>
              </w:rPr>
              <w:lastRenderedPageBreak/>
              <w:t>SEND CoP 2015,</w:t>
            </w:r>
          </w:p>
          <w:p w:rsidR="00073CBA" w:rsidRPr="00ED51B2" w:rsidRDefault="00073CBA" w:rsidP="00073CBA">
            <w:pPr>
              <w:spacing w:before="40" w:after="40"/>
              <w:rPr>
                <w:rFonts w:cs="Calibri"/>
                <w:sz w:val="22"/>
                <w:szCs w:val="22"/>
              </w:rPr>
            </w:pPr>
            <w:r w:rsidRPr="00ED51B2">
              <w:rPr>
                <w:rFonts w:cs="Calibri"/>
                <w:sz w:val="22"/>
                <w:szCs w:val="22"/>
              </w:rPr>
              <w:t>Paragraph 9.2</w:t>
            </w:r>
          </w:p>
          <w:p w:rsidR="00073CBA" w:rsidRPr="00ED51B2" w:rsidRDefault="00073CBA" w:rsidP="00ED51B2">
            <w:pPr>
              <w:spacing w:before="40" w:after="40"/>
              <w:rPr>
                <w:rFonts w:cs="Calibri"/>
                <w:sz w:val="22"/>
                <w:szCs w:val="22"/>
              </w:rPr>
            </w:pPr>
          </w:p>
        </w:tc>
        <w:tc>
          <w:tcPr>
            <w:tcW w:w="6521" w:type="dxa"/>
          </w:tcPr>
          <w:p w:rsidR="00073CBA" w:rsidRPr="00ED51B2" w:rsidRDefault="00073CBA" w:rsidP="00ED51B2">
            <w:pPr>
              <w:spacing w:before="40" w:after="40"/>
              <w:rPr>
                <w:rFonts w:cs="Calibri"/>
                <w:sz w:val="22"/>
                <w:szCs w:val="22"/>
              </w:rPr>
            </w:pPr>
          </w:p>
        </w:tc>
        <w:tc>
          <w:tcPr>
            <w:tcW w:w="1134" w:type="dxa"/>
          </w:tcPr>
          <w:p w:rsidR="00073CBA" w:rsidRPr="00ED51B2" w:rsidRDefault="00073CBA" w:rsidP="00ED51B2">
            <w:pPr>
              <w:spacing w:before="40" w:after="40"/>
              <w:jc w:val="center"/>
              <w:rPr>
                <w:rFonts w:cs="Calibri"/>
                <w:sz w:val="22"/>
                <w:szCs w:val="22"/>
              </w:rPr>
            </w:pPr>
          </w:p>
        </w:tc>
      </w:tr>
      <w:tr w:rsidR="00ED51B2" w:rsidRPr="00ED51B2" w:rsidTr="00B56F78">
        <w:tc>
          <w:tcPr>
            <w:tcW w:w="5637" w:type="dxa"/>
          </w:tcPr>
          <w:p w:rsidR="00ED51B2" w:rsidRDefault="00ED51B2" w:rsidP="00073CBA">
            <w:pPr>
              <w:pStyle w:val="Default"/>
              <w:spacing w:before="40" w:after="40"/>
              <w:rPr>
                <w:rFonts w:ascii="Calibri" w:hAnsi="Calibri" w:cs="Calibri"/>
                <w:sz w:val="22"/>
                <w:szCs w:val="22"/>
              </w:rPr>
            </w:pPr>
            <w:r w:rsidRPr="00ED51B2">
              <w:rPr>
                <w:rFonts w:ascii="Calibri" w:hAnsi="Calibri" w:cs="Calibri"/>
                <w:sz w:val="22"/>
                <w:szCs w:val="22"/>
              </w:rPr>
              <w:lastRenderedPageBreak/>
              <w:t>Provision of evidence for the assessment as outlined in  SEND CoP para 9.14</w:t>
            </w:r>
          </w:p>
          <w:p w:rsidR="00073CBA" w:rsidRDefault="00073CBA" w:rsidP="00073CBA">
            <w:pPr>
              <w:pStyle w:val="Default"/>
              <w:spacing w:before="40" w:after="40"/>
              <w:rPr>
                <w:rFonts w:ascii="Calibri" w:hAnsi="Calibri" w:cs="Calibri"/>
                <w:sz w:val="22"/>
                <w:szCs w:val="22"/>
              </w:rPr>
            </w:pPr>
          </w:p>
          <w:p w:rsidR="00073CBA" w:rsidRDefault="00073CBA" w:rsidP="00073CBA">
            <w:pPr>
              <w:pStyle w:val="Default"/>
              <w:spacing w:before="40" w:after="40"/>
              <w:rPr>
                <w:rFonts w:ascii="Calibri" w:hAnsi="Calibri" w:cs="Calibri"/>
                <w:sz w:val="22"/>
                <w:szCs w:val="22"/>
              </w:rPr>
            </w:pPr>
          </w:p>
          <w:p w:rsidR="00073CBA" w:rsidRPr="00ED51B2" w:rsidRDefault="00073CBA" w:rsidP="00073CBA">
            <w:pPr>
              <w:pStyle w:val="Default"/>
              <w:spacing w:before="40" w:after="40"/>
              <w:rPr>
                <w:rFonts w:ascii="Calibri" w:hAnsi="Calibri" w:cs="Calibri"/>
                <w:sz w:val="22"/>
                <w:szCs w:val="22"/>
              </w:rPr>
            </w:pPr>
          </w:p>
        </w:tc>
        <w:tc>
          <w:tcPr>
            <w:tcW w:w="1842" w:type="dxa"/>
          </w:tcPr>
          <w:p w:rsidR="00ED51B2" w:rsidRPr="00ED51B2" w:rsidRDefault="006213DD" w:rsidP="00ED51B2">
            <w:pPr>
              <w:spacing w:before="40" w:after="40"/>
              <w:rPr>
                <w:rFonts w:cs="Calibri"/>
                <w:sz w:val="22"/>
                <w:szCs w:val="22"/>
              </w:rPr>
            </w:pPr>
            <w:r>
              <w:rPr>
                <w:rFonts w:cs="Calibri"/>
                <w:sz w:val="22"/>
                <w:szCs w:val="22"/>
              </w:rPr>
              <w:t>SEND CoP 2015,</w:t>
            </w:r>
          </w:p>
          <w:p w:rsidR="00ED51B2" w:rsidRPr="00ED51B2" w:rsidRDefault="00ED51B2" w:rsidP="00ED51B2">
            <w:pPr>
              <w:spacing w:before="40" w:after="40"/>
              <w:rPr>
                <w:rFonts w:cs="Calibri"/>
                <w:sz w:val="22"/>
                <w:szCs w:val="22"/>
              </w:rPr>
            </w:pPr>
            <w:r w:rsidRPr="00ED51B2">
              <w:rPr>
                <w:rFonts w:cs="Calibri"/>
                <w:sz w:val="22"/>
                <w:szCs w:val="22"/>
              </w:rPr>
              <w:t>Paragraph 9.14</w:t>
            </w:r>
          </w:p>
        </w:tc>
        <w:tc>
          <w:tcPr>
            <w:tcW w:w="6521" w:type="dxa"/>
          </w:tcPr>
          <w:p w:rsidR="00ED51B2" w:rsidRPr="00ED51B2" w:rsidRDefault="00ED51B2" w:rsidP="00ED51B2">
            <w:pPr>
              <w:spacing w:before="40" w:after="40"/>
              <w:rPr>
                <w:rFonts w:cs="Calibri"/>
                <w:sz w:val="22"/>
                <w:szCs w:val="22"/>
              </w:rPr>
            </w:pPr>
          </w:p>
        </w:tc>
        <w:tc>
          <w:tcPr>
            <w:tcW w:w="1134" w:type="dxa"/>
          </w:tcPr>
          <w:p w:rsidR="00ED51B2" w:rsidRPr="00ED51B2" w:rsidRDefault="00ED51B2" w:rsidP="00ED51B2">
            <w:pPr>
              <w:spacing w:before="40" w:after="40"/>
              <w:jc w:val="center"/>
              <w:rPr>
                <w:rFonts w:cs="Calibri"/>
                <w:sz w:val="22"/>
                <w:szCs w:val="22"/>
              </w:rPr>
            </w:pPr>
          </w:p>
        </w:tc>
      </w:tr>
      <w:tr w:rsidR="00ED51B2" w:rsidRPr="00ED51B2" w:rsidTr="00B56F78">
        <w:tc>
          <w:tcPr>
            <w:tcW w:w="5637" w:type="dxa"/>
          </w:tcPr>
          <w:p w:rsidR="00ED51B2" w:rsidRDefault="00ED51B2" w:rsidP="00ED51B2">
            <w:pPr>
              <w:spacing w:before="40" w:after="40"/>
              <w:rPr>
                <w:rFonts w:cs="Calibri"/>
                <w:b/>
                <w:color w:val="000000"/>
                <w:sz w:val="22"/>
                <w:szCs w:val="22"/>
              </w:rPr>
            </w:pPr>
            <w:r w:rsidRPr="00ED51B2">
              <w:rPr>
                <w:rFonts w:cs="Calibri"/>
                <w:b/>
                <w:color w:val="000000"/>
                <w:sz w:val="22"/>
                <w:szCs w:val="22"/>
              </w:rPr>
              <w:t>Department of Health guidance Care and Support for Deafblind Children and Adults.</w:t>
            </w:r>
          </w:p>
          <w:p w:rsidR="00ED51B2" w:rsidRPr="00ED51B2" w:rsidRDefault="00ED51B2" w:rsidP="00ED51B2">
            <w:pPr>
              <w:spacing w:before="40" w:after="40"/>
              <w:rPr>
                <w:rFonts w:cs="Calibri"/>
                <w:color w:val="000000"/>
                <w:sz w:val="22"/>
                <w:szCs w:val="22"/>
              </w:rPr>
            </w:pPr>
            <w:r w:rsidRPr="00ED51B2">
              <w:rPr>
                <w:rFonts w:cs="Calibri"/>
                <w:color w:val="000000"/>
                <w:sz w:val="22"/>
                <w:szCs w:val="22"/>
              </w:rPr>
              <w:t>Three main duties imposed on LAs:</w:t>
            </w:r>
          </w:p>
          <w:p w:rsidR="00ED51B2" w:rsidRPr="00ED51B2" w:rsidRDefault="00ED51B2" w:rsidP="00073CBA">
            <w:pPr>
              <w:spacing w:before="40" w:after="40"/>
              <w:ind w:left="360" w:hanging="360"/>
              <w:rPr>
                <w:rFonts w:cs="Calibri"/>
                <w:color w:val="000000"/>
                <w:sz w:val="22"/>
                <w:szCs w:val="22"/>
              </w:rPr>
            </w:pPr>
            <w:r w:rsidRPr="00ED51B2">
              <w:rPr>
                <w:rFonts w:cs="Calibri"/>
                <w:color w:val="000000"/>
                <w:sz w:val="22"/>
                <w:szCs w:val="22"/>
              </w:rPr>
              <w:t>•</w:t>
            </w:r>
            <w:r w:rsidR="00073CBA">
              <w:rPr>
                <w:rFonts w:cs="Calibri"/>
                <w:color w:val="000000"/>
                <w:sz w:val="22"/>
                <w:szCs w:val="22"/>
              </w:rPr>
              <w:tab/>
            </w:r>
            <w:r w:rsidRPr="00ED51B2">
              <w:rPr>
                <w:rFonts w:cs="Calibri"/>
                <w:color w:val="000000"/>
                <w:sz w:val="22"/>
                <w:szCs w:val="22"/>
              </w:rPr>
              <w:t>Ensuring that when an assessment of needs for care and support is carried out, this is done by a person or team that has specific training and expertise relating to deafblind persons</w:t>
            </w:r>
            <w:r w:rsidR="006213DD">
              <w:rPr>
                <w:rFonts w:cs="Calibri"/>
                <w:color w:val="000000"/>
                <w:sz w:val="22"/>
                <w:szCs w:val="22"/>
              </w:rPr>
              <w:t xml:space="preserve"> - </w:t>
            </w:r>
            <w:r w:rsidRPr="00ED51B2">
              <w:rPr>
                <w:rFonts w:cs="Calibri"/>
                <w:color w:val="000000"/>
                <w:sz w:val="22"/>
                <w:szCs w:val="22"/>
              </w:rPr>
              <w:t xml:space="preserve">in particular to assess the need for communication, one-to-one human contact, social interaction and emotional wellbeing, support with mobility assistive technology and habilitation/rehabilitation </w:t>
            </w:r>
          </w:p>
          <w:p w:rsidR="00ED51B2" w:rsidRPr="00ED51B2" w:rsidRDefault="00ED51B2" w:rsidP="00073CBA">
            <w:pPr>
              <w:spacing w:before="40" w:after="40"/>
              <w:ind w:left="360" w:hanging="360"/>
              <w:rPr>
                <w:rFonts w:cs="Calibri"/>
                <w:color w:val="000000"/>
                <w:sz w:val="22"/>
                <w:szCs w:val="22"/>
              </w:rPr>
            </w:pPr>
            <w:r w:rsidRPr="00ED51B2">
              <w:rPr>
                <w:rFonts w:cs="Calibri"/>
                <w:color w:val="000000"/>
                <w:sz w:val="22"/>
                <w:szCs w:val="22"/>
              </w:rPr>
              <w:t>•</w:t>
            </w:r>
            <w:r w:rsidR="00073CBA">
              <w:rPr>
                <w:rFonts w:cs="Calibri"/>
                <w:color w:val="000000"/>
                <w:sz w:val="22"/>
                <w:szCs w:val="22"/>
              </w:rPr>
              <w:tab/>
            </w:r>
            <w:r w:rsidRPr="00ED51B2">
              <w:rPr>
                <w:rFonts w:cs="Calibri"/>
                <w:color w:val="000000"/>
                <w:sz w:val="22"/>
                <w:szCs w:val="22"/>
              </w:rPr>
              <w:t xml:space="preserve">Ensuring that services provided to deafblind people are appropriate, recognising that they may not necessarily be able to benefit from mainstream services or those services aimed primarily at blind people or deaf people who are able to rely on their other senses </w:t>
            </w:r>
          </w:p>
          <w:p w:rsidR="00ED51B2" w:rsidRPr="00ED51B2" w:rsidRDefault="00ED51B2" w:rsidP="00073CBA">
            <w:pPr>
              <w:spacing w:before="40" w:after="40"/>
              <w:ind w:left="360" w:hanging="360"/>
              <w:rPr>
                <w:rFonts w:cs="Calibri"/>
                <w:b/>
                <w:sz w:val="22"/>
                <w:szCs w:val="22"/>
              </w:rPr>
            </w:pPr>
            <w:r w:rsidRPr="00ED51B2">
              <w:rPr>
                <w:rFonts w:cs="Calibri"/>
                <w:color w:val="000000"/>
                <w:sz w:val="22"/>
                <w:szCs w:val="22"/>
              </w:rPr>
              <w:t>•</w:t>
            </w:r>
            <w:r w:rsidR="00073CBA">
              <w:rPr>
                <w:rFonts w:cs="Calibri"/>
                <w:color w:val="000000"/>
                <w:sz w:val="22"/>
                <w:szCs w:val="22"/>
              </w:rPr>
              <w:tab/>
            </w:r>
            <w:r w:rsidRPr="00ED51B2">
              <w:rPr>
                <w:rFonts w:cs="Calibri"/>
                <w:color w:val="000000"/>
                <w:sz w:val="22"/>
                <w:szCs w:val="22"/>
              </w:rPr>
              <w:t>Ensuring that deafblind people are able to access specifically trained one-to-one support workers if they are assessed as requiring one.</w:t>
            </w:r>
          </w:p>
        </w:tc>
        <w:tc>
          <w:tcPr>
            <w:tcW w:w="1842" w:type="dxa"/>
          </w:tcPr>
          <w:p w:rsidR="00ED51B2" w:rsidRPr="00ED51B2" w:rsidRDefault="00ED51B2" w:rsidP="00ED51B2">
            <w:pPr>
              <w:spacing w:before="40" w:after="40"/>
              <w:rPr>
                <w:rFonts w:cs="Calibri"/>
                <w:sz w:val="22"/>
                <w:szCs w:val="22"/>
              </w:rPr>
            </w:pPr>
            <w:r w:rsidRPr="00ED51B2">
              <w:rPr>
                <w:rFonts w:cs="Calibri"/>
                <w:sz w:val="22"/>
                <w:szCs w:val="22"/>
              </w:rPr>
              <w:t>Care and Support for Deaf</w:t>
            </w:r>
            <w:r w:rsidR="006213DD">
              <w:rPr>
                <w:rFonts w:cs="Calibri"/>
                <w:sz w:val="22"/>
                <w:szCs w:val="22"/>
              </w:rPr>
              <w:t>blind Adults and Children 2014,</w:t>
            </w:r>
            <w:r w:rsidR="006213DD">
              <w:rPr>
                <w:rFonts w:cs="Calibri"/>
                <w:sz w:val="22"/>
                <w:szCs w:val="22"/>
              </w:rPr>
              <w:br/>
            </w:r>
            <w:r w:rsidRPr="00ED51B2">
              <w:rPr>
                <w:rFonts w:cs="Calibri"/>
                <w:sz w:val="22"/>
                <w:szCs w:val="22"/>
              </w:rPr>
              <w:t>Dept of Health</w:t>
            </w:r>
          </w:p>
        </w:tc>
        <w:tc>
          <w:tcPr>
            <w:tcW w:w="6521" w:type="dxa"/>
          </w:tcPr>
          <w:p w:rsidR="00ED51B2" w:rsidRPr="00ED51B2" w:rsidRDefault="00ED51B2" w:rsidP="00ED51B2">
            <w:pPr>
              <w:spacing w:before="40" w:after="40"/>
              <w:rPr>
                <w:rFonts w:cs="Calibri"/>
                <w:sz w:val="22"/>
                <w:szCs w:val="22"/>
              </w:rPr>
            </w:pPr>
          </w:p>
        </w:tc>
        <w:tc>
          <w:tcPr>
            <w:tcW w:w="1134" w:type="dxa"/>
          </w:tcPr>
          <w:p w:rsidR="00ED51B2" w:rsidRPr="00ED51B2" w:rsidRDefault="00ED51B2" w:rsidP="00ED51B2">
            <w:pPr>
              <w:spacing w:before="40" w:after="40"/>
              <w:jc w:val="center"/>
              <w:rPr>
                <w:rFonts w:cs="Calibri"/>
                <w:sz w:val="22"/>
                <w:szCs w:val="22"/>
              </w:rPr>
            </w:pPr>
          </w:p>
        </w:tc>
      </w:tr>
      <w:tr w:rsidR="00073CBA" w:rsidRPr="00ED51B2" w:rsidTr="00073CBA">
        <w:tc>
          <w:tcPr>
            <w:tcW w:w="5637" w:type="dxa"/>
            <w:tcBorders>
              <w:bottom w:val="single" w:sz="4" w:space="0" w:color="auto"/>
            </w:tcBorders>
          </w:tcPr>
          <w:p w:rsidR="00073CBA" w:rsidRPr="00ED51B2" w:rsidRDefault="00073CBA" w:rsidP="00073CBA">
            <w:pPr>
              <w:spacing w:before="40" w:after="40"/>
              <w:rPr>
                <w:rFonts w:cs="Calibri"/>
                <w:b/>
                <w:sz w:val="22"/>
                <w:szCs w:val="22"/>
              </w:rPr>
            </w:pPr>
            <w:r w:rsidRPr="00ED51B2">
              <w:rPr>
                <w:rFonts w:cs="Calibri"/>
                <w:b/>
                <w:sz w:val="22"/>
                <w:szCs w:val="22"/>
              </w:rPr>
              <w:t>Support for Education Establishments</w:t>
            </w:r>
          </w:p>
          <w:p w:rsidR="00073CBA" w:rsidRPr="00ED51B2" w:rsidRDefault="00073CBA" w:rsidP="00073CBA">
            <w:pPr>
              <w:spacing w:before="40" w:after="40"/>
              <w:rPr>
                <w:rFonts w:cs="Calibri"/>
                <w:b/>
                <w:sz w:val="22"/>
                <w:szCs w:val="22"/>
              </w:rPr>
            </w:pPr>
            <w:r w:rsidRPr="00ED51B2">
              <w:rPr>
                <w:rFonts w:cs="Calibri"/>
                <w:sz w:val="22"/>
                <w:szCs w:val="22"/>
              </w:rPr>
              <w:t xml:space="preserve">Supporting the best endeavours of education </w:t>
            </w:r>
            <w:r w:rsidRPr="00ED51B2">
              <w:rPr>
                <w:rFonts w:cs="Calibri"/>
                <w:sz w:val="22"/>
                <w:szCs w:val="22"/>
              </w:rPr>
              <w:lastRenderedPageBreak/>
              <w:t xml:space="preserve">establishments and supporting LA responsibility for all children and young people under the CFA 2014.  </w:t>
            </w:r>
          </w:p>
        </w:tc>
        <w:tc>
          <w:tcPr>
            <w:tcW w:w="1842" w:type="dxa"/>
            <w:tcBorders>
              <w:bottom w:val="single" w:sz="4" w:space="0" w:color="auto"/>
            </w:tcBorders>
          </w:tcPr>
          <w:p w:rsidR="00073CBA" w:rsidRPr="00ED51B2" w:rsidRDefault="00073CBA" w:rsidP="00073CBA">
            <w:pPr>
              <w:spacing w:before="40" w:after="40"/>
              <w:rPr>
                <w:rFonts w:cs="Calibri"/>
                <w:sz w:val="22"/>
                <w:szCs w:val="22"/>
              </w:rPr>
            </w:pPr>
            <w:r w:rsidRPr="00ED51B2">
              <w:rPr>
                <w:rFonts w:cs="Calibri"/>
                <w:sz w:val="22"/>
                <w:szCs w:val="22"/>
              </w:rPr>
              <w:lastRenderedPageBreak/>
              <w:t>CFA 2014</w:t>
            </w:r>
            <w:r w:rsidR="006213DD">
              <w:rPr>
                <w:rFonts w:cs="Calibri"/>
                <w:sz w:val="22"/>
                <w:szCs w:val="22"/>
              </w:rPr>
              <w:t>,</w:t>
            </w:r>
          </w:p>
          <w:p w:rsidR="00073CBA" w:rsidRPr="00ED51B2" w:rsidRDefault="00073CBA" w:rsidP="00073CBA">
            <w:pPr>
              <w:spacing w:before="40" w:after="40"/>
              <w:rPr>
                <w:rFonts w:cs="Calibri"/>
                <w:sz w:val="22"/>
                <w:szCs w:val="22"/>
              </w:rPr>
            </w:pPr>
            <w:r w:rsidRPr="00ED51B2">
              <w:rPr>
                <w:rFonts w:cs="Calibri"/>
                <w:sz w:val="22"/>
                <w:szCs w:val="22"/>
              </w:rPr>
              <w:t xml:space="preserve">Sections 22, 24 </w:t>
            </w:r>
            <w:r w:rsidRPr="00ED51B2">
              <w:rPr>
                <w:rFonts w:cs="Calibri"/>
                <w:sz w:val="22"/>
                <w:szCs w:val="22"/>
              </w:rPr>
              <w:lastRenderedPageBreak/>
              <w:t xml:space="preserve">and </w:t>
            </w:r>
            <w:r w:rsidRPr="00073CBA">
              <w:rPr>
                <w:rFonts w:cs="Calibri"/>
                <w:sz w:val="22"/>
                <w:szCs w:val="22"/>
              </w:rPr>
              <w:t>66</w:t>
            </w:r>
            <w:r>
              <w:rPr>
                <w:rStyle w:val="FootnoteReference"/>
                <w:rFonts w:cs="Calibri"/>
                <w:sz w:val="22"/>
                <w:szCs w:val="22"/>
              </w:rPr>
              <w:footnoteReference w:id="11"/>
            </w:r>
          </w:p>
        </w:tc>
        <w:tc>
          <w:tcPr>
            <w:tcW w:w="6521" w:type="dxa"/>
            <w:tcBorders>
              <w:bottom w:val="single" w:sz="4" w:space="0" w:color="auto"/>
            </w:tcBorders>
          </w:tcPr>
          <w:p w:rsidR="00073CBA" w:rsidRPr="00ED51B2" w:rsidRDefault="00073CBA" w:rsidP="00ED51B2">
            <w:pPr>
              <w:spacing w:before="40" w:after="40"/>
              <w:rPr>
                <w:rFonts w:cs="Calibri"/>
                <w:sz w:val="22"/>
                <w:szCs w:val="22"/>
              </w:rPr>
            </w:pPr>
          </w:p>
        </w:tc>
        <w:tc>
          <w:tcPr>
            <w:tcW w:w="1134" w:type="dxa"/>
            <w:tcBorders>
              <w:bottom w:val="single" w:sz="4" w:space="0" w:color="auto"/>
            </w:tcBorders>
          </w:tcPr>
          <w:p w:rsidR="00073CBA" w:rsidRPr="00ED51B2" w:rsidRDefault="00073CBA" w:rsidP="00ED51B2">
            <w:pPr>
              <w:spacing w:before="40" w:after="40"/>
              <w:jc w:val="center"/>
              <w:rPr>
                <w:rFonts w:cs="Calibri"/>
                <w:sz w:val="22"/>
                <w:szCs w:val="22"/>
              </w:rPr>
            </w:pPr>
          </w:p>
        </w:tc>
      </w:tr>
      <w:tr w:rsidR="00073CBA" w:rsidRPr="00ED51B2" w:rsidTr="00073CBA">
        <w:tc>
          <w:tcPr>
            <w:tcW w:w="5637" w:type="dxa"/>
            <w:tcBorders>
              <w:bottom w:val="single" w:sz="4" w:space="0" w:color="auto"/>
            </w:tcBorders>
          </w:tcPr>
          <w:p w:rsidR="00073CBA" w:rsidRDefault="00073CBA" w:rsidP="00ED51B2">
            <w:pPr>
              <w:spacing w:before="40" w:after="40"/>
              <w:rPr>
                <w:rFonts w:cs="Calibri"/>
                <w:sz w:val="22"/>
                <w:szCs w:val="22"/>
              </w:rPr>
            </w:pPr>
            <w:r w:rsidRPr="00ED51B2">
              <w:rPr>
                <w:rFonts w:cs="Calibri"/>
                <w:sz w:val="22"/>
                <w:szCs w:val="22"/>
              </w:rPr>
              <w:lastRenderedPageBreak/>
              <w:t>Early years – involving specialist</w:t>
            </w:r>
            <w:r w:rsidR="006213DD">
              <w:rPr>
                <w:rFonts w:cs="Calibri"/>
                <w:sz w:val="22"/>
                <w:szCs w:val="22"/>
              </w:rPr>
              <w:t>s</w:t>
            </w:r>
            <w:r w:rsidRPr="00ED51B2">
              <w:rPr>
                <w:rFonts w:cs="Calibri"/>
                <w:sz w:val="22"/>
                <w:szCs w:val="22"/>
              </w:rPr>
              <w:t xml:space="preserve"> (see EY section above)</w:t>
            </w:r>
          </w:p>
          <w:p w:rsidR="00073CBA" w:rsidRDefault="00073CBA" w:rsidP="00ED51B2">
            <w:pPr>
              <w:spacing w:before="40" w:after="40"/>
              <w:rPr>
                <w:rFonts w:cs="Calibri"/>
                <w:sz w:val="22"/>
                <w:szCs w:val="22"/>
              </w:rPr>
            </w:pPr>
          </w:p>
          <w:p w:rsidR="00073CBA" w:rsidRDefault="00073CBA" w:rsidP="00ED51B2">
            <w:pPr>
              <w:spacing w:before="40" w:after="40"/>
              <w:rPr>
                <w:rFonts w:cs="Calibri"/>
                <w:sz w:val="22"/>
                <w:szCs w:val="22"/>
              </w:rPr>
            </w:pPr>
          </w:p>
          <w:p w:rsidR="00073CBA" w:rsidRDefault="00073CBA" w:rsidP="00ED51B2">
            <w:pPr>
              <w:spacing w:before="40" w:after="40"/>
              <w:rPr>
                <w:rFonts w:cs="Calibri"/>
                <w:sz w:val="22"/>
                <w:szCs w:val="22"/>
              </w:rPr>
            </w:pPr>
          </w:p>
          <w:p w:rsidR="00073CBA" w:rsidRPr="00ED51B2" w:rsidRDefault="00073CBA" w:rsidP="00ED51B2">
            <w:pPr>
              <w:spacing w:before="40" w:after="40"/>
              <w:rPr>
                <w:rFonts w:cs="Calibri"/>
                <w:sz w:val="22"/>
                <w:szCs w:val="22"/>
              </w:rPr>
            </w:pPr>
          </w:p>
        </w:tc>
        <w:tc>
          <w:tcPr>
            <w:tcW w:w="1842" w:type="dxa"/>
            <w:tcBorders>
              <w:bottom w:val="single" w:sz="4" w:space="0" w:color="auto"/>
            </w:tcBorders>
          </w:tcPr>
          <w:p w:rsidR="006213DD" w:rsidRDefault="00073CBA" w:rsidP="00ED51B2">
            <w:pPr>
              <w:spacing w:before="40" w:after="40"/>
              <w:rPr>
                <w:rFonts w:cs="Calibri"/>
                <w:sz w:val="22"/>
                <w:szCs w:val="22"/>
              </w:rPr>
            </w:pPr>
            <w:r w:rsidRPr="00ED51B2">
              <w:rPr>
                <w:rFonts w:cs="Calibri"/>
                <w:sz w:val="22"/>
                <w:szCs w:val="22"/>
              </w:rPr>
              <w:t>SEND CoP 2015</w:t>
            </w:r>
            <w:r w:rsidR="006213DD">
              <w:rPr>
                <w:rFonts w:cs="Calibri"/>
                <w:sz w:val="22"/>
                <w:szCs w:val="22"/>
              </w:rPr>
              <w:t>,</w:t>
            </w:r>
          </w:p>
          <w:p w:rsidR="00073CBA" w:rsidRPr="00ED51B2" w:rsidRDefault="00073CBA" w:rsidP="00ED51B2">
            <w:pPr>
              <w:spacing w:before="40" w:after="40"/>
              <w:rPr>
                <w:rFonts w:cs="Calibri"/>
                <w:sz w:val="22"/>
                <w:szCs w:val="22"/>
              </w:rPr>
            </w:pPr>
            <w:r w:rsidRPr="00ED51B2">
              <w:rPr>
                <w:rFonts w:cs="Calibri"/>
                <w:sz w:val="22"/>
                <w:szCs w:val="22"/>
              </w:rPr>
              <w:t>Para 5.48</w:t>
            </w:r>
          </w:p>
        </w:tc>
        <w:tc>
          <w:tcPr>
            <w:tcW w:w="6521" w:type="dxa"/>
            <w:tcBorders>
              <w:bottom w:val="single" w:sz="4" w:space="0" w:color="auto"/>
            </w:tcBorders>
          </w:tcPr>
          <w:p w:rsidR="00073CBA" w:rsidRPr="00ED51B2" w:rsidRDefault="00073CBA" w:rsidP="00ED51B2">
            <w:pPr>
              <w:spacing w:before="40" w:after="40"/>
              <w:rPr>
                <w:rFonts w:cs="Calibri"/>
                <w:sz w:val="22"/>
                <w:szCs w:val="22"/>
              </w:rPr>
            </w:pPr>
          </w:p>
        </w:tc>
        <w:tc>
          <w:tcPr>
            <w:tcW w:w="1134" w:type="dxa"/>
            <w:tcBorders>
              <w:bottom w:val="single" w:sz="4" w:space="0" w:color="auto"/>
            </w:tcBorders>
          </w:tcPr>
          <w:p w:rsidR="00073CBA" w:rsidRPr="00ED51B2" w:rsidRDefault="00073CBA" w:rsidP="00ED51B2">
            <w:pPr>
              <w:spacing w:before="40" w:after="40"/>
              <w:jc w:val="center"/>
              <w:rPr>
                <w:rFonts w:cs="Calibri"/>
                <w:sz w:val="22"/>
                <w:szCs w:val="22"/>
              </w:rPr>
            </w:pPr>
          </w:p>
        </w:tc>
      </w:tr>
      <w:tr w:rsidR="00073CBA" w:rsidRPr="00ED51B2" w:rsidTr="00073CBA">
        <w:tc>
          <w:tcPr>
            <w:tcW w:w="5637" w:type="dxa"/>
            <w:tcBorders>
              <w:top w:val="single" w:sz="4" w:space="0" w:color="auto"/>
              <w:bottom w:val="single" w:sz="4" w:space="0" w:color="auto"/>
            </w:tcBorders>
          </w:tcPr>
          <w:p w:rsidR="00073CBA" w:rsidRPr="00ED51B2" w:rsidRDefault="00073CBA" w:rsidP="006213DD">
            <w:pPr>
              <w:spacing w:before="40" w:after="40"/>
              <w:rPr>
                <w:rFonts w:cs="Calibri"/>
                <w:sz w:val="22"/>
                <w:szCs w:val="22"/>
              </w:rPr>
            </w:pPr>
            <w:r w:rsidRPr="00073CBA">
              <w:rPr>
                <w:rFonts w:cs="Calibri"/>
                <w:b/>
                <w:sz w:val="22"/>
                <w:szCs w:val="22"/>
              </w:rPr>
              <w:t>Primary</w:t>
            </w:r>
            <w:r w:rsidR="006213DD">
              <w:rPr>
                <w:rFonts w:cs="Calibri"/>
                <w:b/>
                <w:sz w:val="22"/>
                <w:szCs w:val="22"/>
              </w:rPr>
              <w:t xml:space="preserve">  and </w:t>
            </w:r>
            <w:r w:rsidRPr="00073CBA">
              <w:rPr>
                <w:rFonts w:cs="Calibri"/>
                <w:b/>
                <w:sz w:val="22"/>
                <w:szCs w:val="22"/>
              </w:rPr>
              <w:t>secondary schools</w:t>
            </w:r>
          </w:p>
        </w:tc>
        <w:tc>
          <w:tcPr>
            <w:tcW w:w="1842" w:type="dxa"/>
            <w:tcBorders>
              <w:top w:val="single" w:sz="4" w:space="0" w:color="auto"/>
              <w:bottom w:val="single" w:sz="4" w:space="0" w:color="auto"/>
            </w:tcBorders>
          </w:tcPr>
          <w:p w:rsidR="00073CBA" w:rsidRPr="00ED51B2" w:rsidRDefault="006213DD" w:rsidP="00ED51B2">
            <w:pPr>
              <w:spacing w:before="40" w:after="40"/>
              <w:rPr>
                <w:rFonts w:cs="Calibri"/>
                <w:sz w:val="22"/>
                <w:szCs w:val="22"/>
              </w:rPr>
            </w:pPr>
            <w:r>
              <w:rPr>
                <w:rFonts w:cs="Calibri"/>
                <w:sz w:val="22"/>
                <w:szCs w:val="22"/>
              </w:rPr>
              <w:t>SEND CoP 2015,</w:t>
            </w:r>
            <w:r>
              <w:rPr>
                <w:rFonts w:cs="Calibri"/>
                <w:sz w:val="22"/>
                <w:szCs w:val="22"/>
              </w:rPr>
              <w:br/>
            </w:r>
            <w:r w:rsidR="00073CBA" w:rsidRPr="00ED51B2">
              <w:rPr>
                <w:rFonts w:cs="Calibri"/>
                <w:sz w:val="22"/>
                <w:szCs w:val="22"/>
              </w:rPr>
              <w:t>Paras 6.58 to 6.62</w:t>
            </w:r>
          </w:p>
        </w:tc>
        <w:tc>
          <w:tcPr>
            <w:tcW w:w="6521" w:type="dxa"/>
            <w:tcBorders>
              <w:top w:val="single" w:sz="4" w:space="0" w:color="auto"/>
              <w:bottom w:val="single" w:sz="4" w:space="0" w:color="auto"/>
            </w:tcBorders>
          </w:tcPr>
          <w:p w:rsidR="00073CBA" w:rsidRPr="00ED51B2" w:rsidRDefault="00073CBA" w:rsidP="00ED51B2">
            <w:pPr>
              <w:spacing w:before="40" w:after="40"/>
              <w:rPr>
                <w:rFonts w:cs="Calibri"/>
                <w:sz w:val="22"/>
                <w:szCs w:val="22"/>
              </w:rPr>
            </w:pPr>
          </w:p>
        </w:tc>
        <w:tc>
          <w:tcPr>
            <w:tcW w:w="1134" w:type="dxa"/>
            <w:tcBorders>
              <w:top w:val="single" w:sz="4" w:space="0" w:color="auto"/>
              <w:bottom w:val="single" w:sz="4" w:space="0" w:color="auto"/>
            </w:tcBorders>
          </w:tcPr>
          <w:p w:rsidR="00073CBA" w:rsidRPr="00ED51B2" w:rsidRDefault="00073CBA" w:rsidP="00ED51B2">
            <w:pPr>
              <w:spacing w:before="40" w:after="40"/>
              <w:jc w:val="center"/>
              <w:rPr>
                <w:rFonts w:cs="Calibri"/>
                <w:sz w:val="22"/>
                <w:szCs w:val="22"/>
              </w:rPr>
            </w:pPr>
          </w:p>
        </w:tc>
      </w:tr>
      <w:tr w:rsidR="00073CBA" w:rsidRPr="00ED51B2" w:rsidTr="00B60372">
        <w:tc>
          <w:tcPr>
            <w:tcW w:w="5637" w:type="dxa"/>
            <w:tcBorders>
              <w:bottom w:val="single" w:sz="4" w:space="0" w:color="auto"/>
            </w:tcBorders>
          </w:tcPr>
          <w:p w:rsidR="00073CBA" w:rsidRPr="00ED51B2" w:rsidRDefault="00073CBA" w:rsidP="00073CBA">
            <w:pPr>
              <w:pStyle w:val="Default"/>
              <w:spacing w:before="40" w:after="40"/>
              <w:rPr>
                <w:rFonts w:ascii="Calibri" w:hAnsi="Calibri" w:cs="Calibri"/>
                <w:sz w:val="22"/>
                <w:szCs w:val="22"/>
              </w:rPr>
            </w:pPr>
            <w:r w:rsidRPr="00ED51B2">
              <w:rPr>
                <w:rFonts w:ascii="Calibri" w:hAnsi="Calibri" w:cs="Calibri"/>
                <w:sz w:val="22"/>
                <w:szCs w:val="22"/>
              </w:rPr>
              <w:t xml:space="preserve">Schools may involve specialists at any point to advise them on early identification of SEN and effective support and interventions. </w:t>
            </w:r>
            <w:r w:rsidR="006213DD">
              <w:rPr>
                <w:rFonts w:ascii="Calibri" w:hAnsi="Calibri" w:cs="Calibri"/>
                <w:sz w:val="22"/>
                <w:szCs w:val="22"/>
              </w:rPr>
              <w:t xml:space="preserve"> </w:t>
            </w:r>
            <w:r w:rsidRPr="00ED51B2">
              <w:rPr>
                <w:rFonts w:ascii="Calibri" w:hAnsi="Calibri" w:cs="Calibri"/>
                <w:sz w:val="22"/>
                <w:szCs w:val="22"/>
              </w:rPr>
              <w:t xml:space="preserve">A school should always involve a specialist where a pupil continues to make little or no progress or where they continue to work at levels substantially below those expected of pupils of a similar age despite evidence-based SEN support delivered by appropriately trained staff. The pupil’s parents should always be involved in any decision to involve specialists. </w:t>
            </w:r>
          </w:p>
          <w:p w:rsidR="00073CBA" w:rsidRPr="00ED51B2" w:rsidRDefault="00073CBA" w:rsidP="00073CBA">
            <w:pPr>
              <w:pStyle w:val="Default"/>
              <w:spacing w:before="40" w:after="40"/>
              <w:rPr>
                <w:rFonts w:ascii="Calibri" w:hAnsi="Calibri" w:cs="Calibri"/>
                <w:sz w:val="22"/>
                <w:szCs w:val="22"/>
              </w:rPr>
            </w:pPr>
            <w:r w:rsidRPr="00ED51B2">
              <w:rPr>
                <w:rFonts w:ascii="Calibri" w:hAnsi="Calibri" w:cs="Calibri"/>
                <w:sz w:val="22"/>
                <w:szCs w:val="22"/>
              </w:rPr>
              <w:t xml:space="preserve">The involvement of specialists and what was discussed or agreed should be recorded and shared with the parents and teaching staff supporting the child in the same way as other SEN support. </w:t>
            </w:r>
          </w:p>
          <w:p w:rsidR="00073CBA" w:rsidRPr="00ED51B2" w:rsidRDefault="00073CBA" w:rsidP="00073CBA">
            <w:pPr>
              <w:pStyle w:val="Default"/>
              <w:spacing w:before="40" w:after="40"/>
              <w:rPr>
                <w:rFonts w:ascii="Calibri" w:hAnsi="Calibri" w:cs="Calibri"/>
                <w:sz w:val="22"/>
                <w:szCs w:val="22"/>
              </w:rPr>
            </w:pPr>
            <w:r w:rsidRPr="00ED51B2">
              <w:rPr>
                <w:rFonts w:ascii="Calibri" w:hAnsi="Calibri" w:cs="Calibri"/>
                <w:sz w:val="22"/>
                <w:szCs w:val="22"/>
              </w:rPr>
              <w:t xml:space="preserve">Where assessment indicates that support from specialist services is required, it is important that children and young people receive it as quickly as possible. </w:t>
            </w:r>
            <w:r w:rsidR="006213DD">
              <w:rPr>
                <w:rFonts w:ascii="Calibri" w:hAnsi="Calibri" w:cs="Calibri"/>
                <w:sz w:val="22"/>
                <w:szCs w:val="22"/>
              </w:rPr>
              <w:t xml:space="preserve"> </w:t>
            </w:r>
            <w:r w:rsidRPr="00ED51B2">
              <w:rPr>
                <w:rFonts w:ascii="Calibri" w:hAnsi="Calibri" w:cs="Calibri"/>
                <w:sz w:val="22"/>
                <w:szCs w:val="22"/>
              </w:rPr>
              <w:t xml:space="preserve">Joint commissioning arrangements should seek to ensure that there are sufficient services to meet the likely need in an area. </w:t>
            </w:r>
            <w:r w:rsidR="006213DD">
              <w:rPr>
                <w:rFonts w:ascii="Calibri" w:hAnsi="Calibri" w:cs="Calibri"/>
                <w:sz w:val="22"/>
                <w:szCs w:val="22"/>
              </w:rPr>
              <w:t xml:space="preserve"> </w:t>
            </w:r>
            <w:r w:rsidRPr="00ED51B2">
              <w:rPr>
                <w:rFonts w:ascii="Calibri" w:hAnsi="Calibri" w:cs="Calibri"/>
                <w:sz w:val="22"/>
                <w:szCs w:val="22"/>
              </w:rPr>
              <w:t xml:space="preserve">The Local Offer should set out clearly what support is available </w:t>
            </w:r>
            <w:r w:rsidRPr="00ED51B2">
              <w:rPr>
                <w:rFonts w:ascii="Calibri" w:hAnsi="Calibri" w:cs="Calibri"/>
                <w:sz w:val="22"/>
                <w:szCs w:val="22"/>
              </w:rPr>
              <w:lastRenderedPageBreak/>
              <w:t xml:space="preserve">from different services and how it may be accessed. </w:t>
            </w:r>
          </w:p>
          <w:p w:rsidR="007B0826" w:rsidRDefault="007B0826" w:rsidP="00073CBA">
            <w:pPr>
              <w:pStyle w:val="Default"/>
              <w:spacing w:before="40" w:after="40"/>
              <w:rPr>
                <w:rFonts w:ascii="Calibri" w:hAnsi="Calibri" w:cs="Calibri"/>
                <w:sz w:val="22"/>
                <w:szCs w:val="22"/>
              </w:rPr>
            </w:pPr>
          </w:p>
          <w:p w:rsidR="007B0826" w:rsidRDefault="007B0826" w:rsidP="00073CBA">
            <w:pPr>
              <w:pStyle w:val="Default"/>
              <w:spacing w:before="40" w:after="40"/>
              <w:rPr>
                <w:rFonts w:ascii="Calibri" w:hAnsi="Calibri" w:cs="Calibri"/>
                <w:sz w:val="22"/>
                <w:szCs w:val="22"/>
              </w:rPr>
            </w:pPr>
          </w:p>
          <w:p w:rsidR="007B0826" w:rsidRDefault="007B0826" w:rsidP="00073CBA">
            <w:pPr>
              <w:pStyle w:val="Default"/>
              <w:spacing w:before="40" w:after="40"/>
              <w:rPr>
                <w:rFonts w:ascii="Calibri" w:hAnsi="Calibri" w:cs="Calibri"/>
                <w:sz w:val="22"/>
                <w:szCs w:val="22"/>
              </w:rPr>
            </w:pPr>
          </w:p>
          <w:p w:rsidR="007B0826" w:rsidRDefault="007B0826" w:rsidP="00073CBA">
            <w:pPr>
              <w:pStyle w:val="Default"/>
              <w:spacing w:before="40" w:after="40"/>
              <w:rPr>
                <w:rFonts w:ascii="Calibri" w:hAnsi="Calibri" w:cs="Calibri"/>
                <w:sz w:val="22"/>
                <w:szCs w:val="22"/>
              </w:rPr>
            </w:pPr>
          </w:p>
          <w:p w:rsidR="007B0826" w:rsidRDefault="007B0826" w:rsidP="00073CBA">
            <w:pPr>
              <w:pStyle w:val="Default"/>
              <w:spacing w:before="40" w:after="40"/>
              <w:rPr>
                <w:rFonts w:ascii="Calibri" w:hAnsi="Calibri" w:cs="Calibri"/>
                <w:sz w:val="22"/>
                <w:szCs w:val="22"/>
              </w:rPr>
            </w:pPr>
          </w:p>
          <w:p w:rsidR="007B0826" w:rsidRDefault="007B0826" w:rsidP="00073CBA">
            <w:pPr>
              <w:pStyle w:val="Default"/>
              <w:spacing w:before="40" w:after="40"/>
              <w:rPr>
                <w:rFonts w:ascii="Calibri" w:hAnsi="Calibri" w:cs="Calibri"/>
                <w:sz w:val="22"/>
                <w:szCs w:val="22"/>
              </w:rPr>
            </w:pPr>
          </w:p>
          <w:p w:rsidR="007B0826" w:rsidRDefault="007B0826" w:rsidP="00073CBA">
            <w:pPr>
              <w:pStyle w:val="Default"/>
              <w:spacing w:before="40" w:after="40"/>
              <w:rPr>
                <w:rFonts w:ascii="Calibri" w:hAnsi="Calibri" w:cs="Calibri"/>
                <w:sz w:val="22"/>
                <w:szCs w:val="22"/>
              </w:rPr>
            </w:pPr>
          </w:p>
          <w:p w:rsidR="007B0826" w:rsidRDefault="007B0826" w:rsidP="00073CBA">
            <w:pPr>
              <w:pStyle w:val="Default"/>
              <w:spacing w:before="40" w:after="40"/>
              <w:rPr>
                <w:rFonts w:ascii="Calibri" w:hAnsi="Calibri" w:cs="Calibri"/>
                <w:sz w:val="22"/>
                <w:szCs w:val="22"/>
              </w:rPr>
            </w:pPr>
          </w:p>
          <w:p w:rsidR="007B0826" w:rsidRDefault="007B0826" w:rsidP="00073CBA">
            <w:pPr>
              <w:pStyle w:val="Default"/>
              <w:spacing w:before="40" w:after="40"/>
              <w:rPr>
                <w:rFonts w:ascii="Calibri" w:hAnsi="Calibri" w:cs="Calibri"/>
                <w:sz w:val="22"/>
                <w:szCs w:val="22"/>
              </w:rPr>
            </w:pPr>
          </w:p>
          <w:p w:rsidR="007B0826" w:rsidRDefault="007B0826" w:rsidP="00073CBA">
            <w:pPr>
              <w:pStyle w:val="Default"/>
              <w:spacing w:before="40" w:after="40"/>
              <w:rPr>
                <w:rFonts w:ascii="Calibri" w:hAnsi="Calibri" w:cs="Calibri"/>
                <w:sz w:val="22"/>
                <w:szCs w:val="22"/>
              </w:rPr>
            </w:pPr>
            <w:r>
              <w:rPr>
                <w:rFonts w:ascii="Calibri" w:hAnsi="Calibri" w:cs="Calibri"/>
                <w:sz w:val="22"/>
                <w:szCs w:val="22"/>
              </w:rPr>
              <w:t xml:space="preserve">The </w:t>
            </w:r>
            <w:r w:rsidR="006213DD">
              <w:rPr>
                <w:rFonts w:ascii="Calibri" w:hAnsi="Calibri" w:cs="Calibri"/>
                <w:sz w:val="22"/>
                <w:szCs w:val="22"/>
              </w:rPr>
              <w:t xml:space="preserve">SEND CoP </w:t>
            </w:r>
            <w:r>
              <w:rPr>
                <w:rFonts w:ascii="Calibri" w:hAnsi="Calibri" w:cs="Calibri"/>
                <w:sz w:val="22"/>
                <w:szCs w:val="22"/>
              </w:rPr>
              <w:t>(2015) P</w:t>
            </w:r>
            <w:r w:rsidR="006213DD">
              <w:rPr>
                <w:rFonts w:ascii="Calibri" w:hAnsi="Calibri" w:cs="Calibri"/>
                <w:sz w:val="22"/>
                <w:szCs w:val="22"/>
              </w:rPr>
              <w:t xml:space="preserve">ara </w:t>
            </w:r>
            <w:r w:rsidR="00073CBA" w:rsidRPr="00ED51B2">
              <w:rPr>
                <w:rFonts w:ascii="Calibri" w:hAnsi="Calibri" w:cs="Calibri"/>
                <w:sz w:val="22"/>
                <w:szCs w:val="22"/>
              </w:rPr>
              <w:t xml:space="preserve">6.61 </w:t>
            </w:r>
            <w:r w:rsidR="006213DD">
              <w:rPr>
                <w:rFonts w:ascii="Calibri" w:hAnsi="Calibri" w:cs="Calibri"/>
                <w:sz w:val="22"/>
                <w:szCs w:val="22"/>
              </w:rPr>
              <w:t xml:space="preserve">states: </w:t>
            </w:r>
          </w:p>
          <w:p w:rsidR="00073CBA" w:rsidRDefault="006213DD" w:rsidP="00073CBA">
            <w:pPr>
              <w:pStyle w:val="Default"/>
              <w:spacing w:before="40" w:after="40"/>
              <w:rPr>
                <w:rFonts w:ascii="Calibri" w:hAnsi="Calibri" w:cs="Calibri"/>
                <w:sz w:val="22"/>
                <w:szCs w:val="22"/>
              </w:rPr>
            </w:pPr>
            <w:r>
              <w:rPr>
                <w:rFonts w:ascii="Calibri" w:hAnsi="Calibri" w:cs="Calibri"/>
                <w:sz w:val="22"/>
                <w:szCs w:val="22"/>
              </w:rPr>
              <w:t>‘</w:t>
            </w:r>
            <w:r w:rsidR="00073CBA" w:rsidRPr="00ED51B2">
              <w:rPr>
                <w:rFonts w:ascii="Calibri" w:hAnsi="Calibri" w:cs="Calibri"/>
                <w:sz w:val="22"/>
                <w:szCs w:val="22"/>
              </w:rPr>
              <w:t xml:space="preserve">Schools should work closely with the local authority and other providers to agree the range of local services and clear arrangements for making appropriate requests. This might include schools commissioning specialist services directly. Such specialist services include, but are not limited to: </w:t>
            </w:r>
          </w:p>
          <w:p w:rsidR="007B0826" w:rsidRPr="00ED51B2" w:rsidRDefault="007B0826" w:rsidP="00073CBA">
            <w:pPr>
              <w:pStyle w:val="Default"/>
              <w:spacing w:before="40" w:after="40"/>
              <w:rPr>
                <w:rFonts w:ascii="Calibri" w:hAnsi="Calibri" w:cs="Calibri"/>
                <w:sz w:val="22"/>
                <w:szCs w:val="22"/>
              </w:rPr>
            </w:pPr>
            <w:r>
              <w:rPr>
                <w:rFonts w:ascii="Calibri" w:hAnsi="Calibri" w:cs="Calibri"/>
                <w:sz w:val="22"/>
                <w:szCs w:val="22"/>
              </w:rPr>
              <w:t>[…]</w:t>
            </w:r>
          </w:p>
          <w:p w:rsidR="00073CBA" w:rsidRDefault="00073CBA" w:rsidP="00073CBA">
            <w:pPr>
              <w:pStyle w:val="Default"/>
              <w:spacing w:before="40" w:after="40"/>
              <w:ind w:left="360" w:hanging="360"/>
              <w:rPr>
                <w:rFonts w:ascii="Calibri" w:hAnsi="Calibri" w:cs="Calibri"/>
                <w:sz w:val="22"/>
                <w:szCs w:val="22"/>
              </w:rPr>
            </w:pPr>
            <w:r w:rsidRPr="00ED51B2">
              <w:rPr>
                <w:rFonts w:ascii="Calibri" w:hAnsi="Calibri" w:cs="Calibri"/>
                <w:sz w:val="22"/>
                <w:szCs w:val="22"/>
              </w:rPr>
              <w:t>•</w:t>
            </w:r>
            <w:r>
              <w:rPr>
                <w:rFonts w:ascii="Calibri" w:hAnsi="Calibri" w:cs="Calibri"/>
                <w:sz w:val="22"/>
                <w:szCs w:val="22"/>
              </w:rPr>
              <w:tab/>
            </w:r>
            <w:r w:rsidRPr="00ED51B2">
              <w:rPr>
                <w:rFonts w:ascii="Calibri" w:hAnsi="Calibri" w:cs="Calibri"/>
                <w:sz w:val="22"/>
                <w:szCs w:val="22"/>
              </w:rPr>
              <w:t xml:space="preserve">specialist teachers or support services, </w:t>
            </w:r>
            <w:r w:rsidRPr="00ED51B2">
              <w:rPr>
                <w:rFonts w:ascii="Calibri" w:hAnsi="Calibri" w:cs="Calibri"/>
                <w:b/>
                <w:sz w:val="22"/>
                <w:szCs w:val="22"/>
              </w:rPr>
              <w:t>including specialist teachers with a mandatory qualification</w:t>
            </w:r>
            <w:r w:rsidRPr="00ED51B2">
              <w:rPr>
                <w:rFonts w:ascii="Calibri" w:hAnsi="Calibri" w:cs="Calibri"/>
                <w:sz w:val="22"/>
                <w:szCs w:val="22"/>
              </w:rPr>
              <w:t xml:space="preserve"> for children with hearing and vision impairment, including multi-sensory impairment, and for those with a physical disability. </w:t>
            </w:r>
            <w:r w:rsidR="007B0826">
              <w:rPr>
                <w:rFonts w:ascii="Calibri" w:hAnsi="Calibri" w:cs="Calibri"/>
                <w:sz w:val="22"/>
                <w:szCs w:val="22"/>
              </w:rPr>
              <w:t xml:space="preserve"> </w:t>
            </w:r>
            <w:r w:rsidRPr="00ED51B2">
              <w:rPr>
                <w:rFonts w:ascii="Calibri" w:hAnsi="Calibri" w:cs="Calibri"/>
                <w:sz w:val="22"/>
                <w:szCs w:val="22"/>
              </w:rPr>
              <w:t xml:space="preserve">(Those teaching classes of children with sensory impairment </w:t>
            </w:r>
            <w:r w:rsidRPr="00ED51B2">
              <w:rPr>
                <w:rFonts w:ascii="Calibri" w:hAnsi="Calibri" w:cs="Calibri"/>
                <w:b/>
                <w:bCs/>
                <w:sz w:val="22"/>
                <w:szCs w:val="22"/>
              </w:rPr>
              <w:t xml:space="preserve">must </w:t>
            </w:r>
            <w:r w:rsidRPr="00ED51B2">
              <w:rPr>
                <w:rFonts w:ascii="Calibri" w:hAnsi="Calibri" w:cs="Calibri"/>
                <w:sz w:val="22"/>
                <w:szCs w:val="22"/>
              </w:rPr>
              <w:t xml:space="preserve">hold an appropriate qualification approved by the Secretary of State. Teachers working in an advisory role to support such pupils should also hold the appropriate qualification.) </w:t>
            </w:r>
            <w:r w:rsidR="007B0826">
              <w:rPr>
                <w:rFonts w:ascii="Calibri" w:hAnsi="Calibri" w:cs="Calibri"/>
                <w:sz w:val="22"/>
                <w:szCs w:val="22"/>
              </w:rPr>
              <w:t>‘</w:t>
            </w:r>
          </w:p>
          <w:p w:rsidR="007B0826" w:rsidRDefault="007B0826" w:rsidP="007B0826">
            <w:pPr>
              <w:pStyle w:val="Default"/>
              <w:spacing w:before="40" w:after="40"/>
              <w:ind w:left="360" w:hanging="360"/>
              <w:rPr>
                <w:rFonts w:ascii="Calibri" w:hAnsi="Calibri" w:cs="Calibri"/>
                <w:sz w:val="22"/>
                <w:szCs w:val="22"/>
              </w:rPr>
            </w:pPr>
          </w:p>
          <w:p w:rsidR="007B0826" w:rsidRDefault="007B0826" w:rsidP="007B0826">
            <w:pPr>
              <w:pStyle w:val="Default"/>
              <w:spacing w:before="40" w:after="40"/>
              <w:ind w:left="360" w:hanging="360"/>
              <w:rPr>
                <w:rFonts w:ascii="Calibri" w:hAnsi="Calibri" w:cs="Calibri"/>
                <w:sz w:val="22"/>
                <w:szCs w:val="22"/>
              </w:rPr>
            </w:pPr>
            <w:r>
              <w:rPr>
                <w:rFonts w:ascii="Calibri" w:hAnsi="Calibri" w:cs="Calibri"/>
                <w:sz w:val="22"/>
                <w:szCs w:val="22"/>
              </w:rPr>
              <w:t xml:space="preserve">The SEND CoP (2015) Para 6.62 states: </w:t>
            </w:r>
          </w:p>
          <w:p w:rsidR="00073CBA" w:rsidRDefault="007B0826" w:rsidP="007B0826">
            <w:pPr>
              <w:pStyle w:val="Default"/>
              <w:spacing w:before="40" w:after="40"/>
              <w:rPr>
                <w:rFonts w:ascii="Calibri" w:hAnsi="Calibri" w:cs="Calibri"/>
                <w:sz w:val="22"/>
                <w:szCs w:val="22"/>
              </w:rPr>
            </w:pPr>
            <w:r>
              <w:rPr>
                <w:rFonts w:ascii="Calibri" w:hAnsi="Calibri" w:cs="Calibri"/>
                <w:sz w:val="22"/>
                <w:szCs w:val="22"/>
              </w:rPr>
              <w:t>‘</w:t>
            </w:r>
            <w:r w:rsidR="00073CBA" w:rsidRPr="00ED51B2">
              <w:rPr>
                <w:rFonts w:ascii="Calibri" w:hAnsi="Calibri" w:cs="Calibri"/>
                <w:sz w:val="22"/>
                <w:szCs w:val="22"/>
              </w:rPr>
              <w:t xml:space="preserve">The SENCO and class teacher, </w:t>
            </w:r>
            <w:r w:rsidR="00073CBA" w:rsidRPr="00ED51B2">
              <w:rPr>
                <w:rFonts w:ascii="Calibri" w:hAnsi="Calibri" w:cs="Calibri"/>
                <w:b/>
                <w:sz w:val="22"/>
                <w:szCs w:val="22"/>
              </w:rPr>
              <w:t>together with the specialists</w:t>
            </w:r>
            <w:r w:rsidR="00073CBA" w:rsidRPr="00ED51B2">
              <w:rPr>
                <w:rFonts w:ascii="Calibri" w:hAnsi="Calibri" w:cs="Calibri"/>
                <w:sz w:val="22"/>
                <w:szCs w:val="22"/>
              </w:rPr>
              <w:t xml:space="preserve">, </w:t>
            </w:r>
            <w:r w:rsidR="00073CBA" w:rsidRPr="00ED51B2">
              <w:rPr>
                <w:rFonts w:ascii="Calibri" w:hAnsi="Calibri" w:cs="Calibri"/>
                <w:sz w:val="22"/>
                <w:szCs w:val="22"/>
              </w:rPr>
              <w:lastRenderedPageBreak/>
              <w:t xml:space="preserve">and involving the pupil’s parents, should consider a range of evidence-based and effective teaching approaches, appropriate equipment, strategies and interventions in order to support the child’s progress. They should agree the outcomes to be achieved through the support, including a date by which progress will be reviewed. </w:t>
            </w:r>
            <w:r>
              <w:rPr>
                <w:rFonts w:ascii="Calibri" w:hAnsi="Calibri" w:cs="Calibri"/>
                <w:sz w:val="22"/>
                <w:szCs w:val="22"/>
              </w:rPr>
              <w:t>‘</w:t>
            </w:r>
          </w:p>
          <w:p w:rsidR="00073CBA" w:rsidRDefault="00073CBA" w:rsidP="00073CBA">
            <w:pPr>
              <w:spacing w:before="40" w:after="40"/>
              <w:rPr>
                <w:rFonts w:cs="Calibri"/>
                <w:sz w:val="22"/>
                <w:szCs w:val="22"/>
              </w:rPr>
            </w:pPr>
          </w:p>
          <w:p w:rsidR="00073CBA" w:rsidRDefault="00073CBA" w:rsidP="00073CBA">
            <w:pPr>
              <w:spacing w:before="40" w:after="40"/>
              <w:rPr>
                <w:rFonts w:cs="Calibri"/>
                <w:sz w:val="22"/>
                <w:szCs w:val="22"/>
              </w:rPr>
            </w:pPr>
          </w:p>
          <w:p w:rsidR="007B0826" w:rsidRDefault="007B0826" w:rsidP="00073CBA">
            <w:pPr>
              <w:spacing w:before="40" w:after="40"/>
              <w:rPr>
                <w:rFonts w:cs="Calibri"/>
                <w:sz w:val="22"/>
                <w:szCs w:val="22"/>
              </w:rPr>
            </w:pPr>
          </w:p>
          <w:p w:rsidR="007B0826" w:rsidRDefault="007B0826" w:rsidP="00073CBA">
            <w:pPr>
              <w:spacing w:before="40" w:after="40"/>
              <w:rPr>
                <w:rFonts w:cs="Calibri"/>
                <w:sz w:val="22"/>
                <w:szCs w:val="22"/>
              </w:rPr>
            </w:pPr>
          </w:p>
          <w:p w:rsidR="007B0826" w:rsidRPr="00ED51B2" w:rsidRDefault="007B0826" w:rsidP="00073CBA">
            <w:pPr>
              <w:spacing w:before="40" w:after="40"/>
              <w:rPr>
                <w:rFonts w:cs="Calibri"/>
                <w:sz w:val="22"/>
                <w:szCs w:val="22"/>
              </w:rPr>
            </w:pPr>
          </w:p>
          <w:p w:rsidR="00073CBA" w:rsidRPr="00ED51B2" w:rsidRDefault="00073CBA" w:rsidP="00ED51B2">
            <w:pPr>
              <w:spacing w:before="40" w:after="40"/>
              <w:rPr>
                <w:rFonts w:cs="Calibri"/>
                <w:sz w:val="22"/>
                <w:szCs w:val="22"/>
              </w:rPr>
            </w:pPr>
          </w:p>
        </w:tc>
        <w:tc>
          <w:tcPr>
            <w:tcW w:w="1842" w:type="dxa"/>
            <w:tcBorders>
              <w:bottom w:val="single" w:sz="4" w:space="0" w:color="auto"/>
            </w:tcBorders>
          </w:tcPr>
          <w:p w:rsidR="00073CBA" w:rsidRPr="00ED51B2" w:rsidRDefault="00073CBA" w:rsidP="006213DD">
            <w:pPr>
              <w:spacing w:before="40" w:after="40"/>
              <w:rPr>
                <w:rFonts w:cs="Calibri"/>
                <w:sz w:val="22"/>
                <w:szCs w:val="22"/>
              </w:rPr>
            </w:pPr>
            <w:r w:rsidRPr="00ED51B2">
              <w:rPr>
                <w:rFonts w:cs="Calibri"/>
                <w:sz w:val="22"/>
                <w:szCs w:val="22"/>
              </w:rPr>
              <w:lastRenderedPageBreak/>
              <w:t>SEND CoP 2015</w:t>
            </w:r>
            <w:r w:rsidR="006213DD">
              <w:rPr>
                <w:rFonts w:cs="Calibri"/>
                <w:sz w:val="22"/>
                <w:szCs w:val="22"/>
              </w:rPr>
              <w:t>,</w:t>
            </w:r>
            <w:r w:rsidRPr="00ED51B2">
              <w:rPr>
                <w:rFonts w:cs="Calibri"/>
                <w:sz w:val="22"/>
                <w:szCs w:val="22"/>
              </w:rPr>
              <w:t xml:space="preserve"> Para</w:t>
            </w:r>
            <w:r w:rsidR="006213DD">
              <w:rPr>
                <w:rFonts w:cs="Calibri"/>
                <w:sz w:val="22"/>
                <w:szCs w:val="22"/>
              </w:rPr>
              <w:t>s</w:t>
            </w:r>
            <w:r w:rsidRPr="00ED51B2">
              <w:rPr>
                <w:rFonts w:cs="Calibri"/>
                <w:sz w:val="22"/>
                <w:szCs w:val="22"/>
              </w:rPr>
              <w:t xml:space="preserve"> 6.6</w:t>
            </w:r>
            <w:r w:rsidR="006213DD">
              <w:rPr>
                <w:rFonts w:cs="Calibri"/>
                <w:sz w:val="22"/>
                <w:szCs w:val="22"/>
              </w:rPr>
              <w:t>1 and 6.62</w:t>
            </w:r>
          </w:p>
        </w:tc>
        <w:tc>
          <w:tcPr>
            <w:tcW w:w="6521" w:type="dxa"/>
            <w:tcBorders>
              <w:bottom w:val="single" w:sz="4" w:space="0" w:color="auto"/>
            </w:tcBorders>
          </w:tcPr>
          <w:p w:rsidR="00073CBA" w:rsidRPr="00ED51B2" w:rsidRDefault="00073CBA" w:rsidP="00ED51B2">
            <w:pPr>
              <w:spacing w:before="40" w:after="40"/>
              <w:rPr>
                <w:rFonts w:cs="Calibri"/>
                <w:sz w:val="22"/>
                <w:szCs w:val="22"/>
              </w:rPr>
            </w:pPr>
          </w:p>
        </w:tc>
        <w:tc>
          <w:tcPr>
            <w:tcW w:w="1134" w:type="dxa"/>
            <w:tcBorders>
              <w:bottom w:val="single" w:sz="4" w:space="0" w:color="auto"/>
            </w:tcBorders>
          </w:tcPr>
          <w:p w:rsidR="00073CBA" w:rsidRPr="00ED51B2" w:rsidRDefault="00073CBA" w:rsidP="00ED51B2">
            <w:pPr>
              <w:spacing w:before="40" w:after="40"/>
              <w:jc w:val="center"/>
              <w:rPr>
                <w:rFonts w:cs="Calibri"/>
                <w:sz w:val="22"/>
                <w:szCs w:val="22"/>
              </w:rPr>
            </w:pPr>
          </w:p>
        </w:tc>
      </w:tr>
      <w:tr w:rsidR="00073CBA" w:rsidRPr="00ED51B2" w:rsidTr="00B60372">
        <w:tc>
          <w:tcPr>
            <w:tcW w:w="5637" w:type="dxa"/>
            <w:tcBorders>
              <w:top w:val="single" w:sz="4" w:space="0" w:color="auto"/>
              <w:bottom w:val="single" w:sz="4" w:space="0" w:color="auto"/>
            </w:tcBorders>
          </w:tcPr>
          <w:p w:rsidR="00073CBA" w:rsidRPr="00ED51B2" w:rsidRDefault="00073CBA" w:rsidP="00B56F78">
            <w:pPr>
              <w:spacing w:before="40" w:after="40"/>
              <w:rPr>
                <w:rFonts w:cs="Calibri"/>
                <w:sz w:val="22"/>
                <w:szCs w:val="22"/>
              </w:rPr>
            </w:pPr>
            <w:r w:rsidRPr="00ED51B2">
              <w:rPr>
                <w:rFonts w:cs="Calibri"/>
                <w:color w:val="000000"/>
                <w:sz w:val="22"/>
                <w:szCs w:val="22"/>
              </w:rPr>
              <w:lastRenderedPageBreak/>
              <w:t>The SEND regulations set out what information schools should be providing.</w:t>
            </w:r>
            <w:r w:rsidR="007B0826">
              <w:rPr>
                <w:rFonts w:cs="Calibri"/>
                <w:color w:val="000000"/>
                <w:sz w:val="22"/>
                <w:szCs w:val="22"/>
              </w:rPr>
              <w:t xml:space="preserve">  </w:t>
            </w:r>
            <w:r w:rsidRPr="00ED51B2">
              <w:rPr>
                <w:rFonts w:cs="Calibri"/>
                <w:color w:val="000000"/>
                <w:sz w:val="22"/>
                <w:szCs w:val="22"/>
              </w:rPr>
              <w:t>It includes</w:t>
            </w:r>
          </w:p>
          <w:p w:rsidR="00073CBA" w:rsidRPr="00ED51B2" w:rsidRDefault="007B0826" w:rsidP="00B56F78">
            <w:pPr>
              <w:pStyle w:val="ListParagraph"/>
              <w:numPr>
                <w:ilvl w:val="0"/>
                <w:numId w:val="36"/>
              </w:numPr>
              <w:spacing w:before="40" w:after="40"/>
              <w:ind w:left="426" w:hanging="426"/>
              <w:contextualSpacing w:val="0"/>
              <w:rPr>
                <w:rFonts w:cs="Calibri"/>
                <w:sz w:val="22"/>
                <w:szCs w:val="22"/>
              </w:rPr>
            </w:pPr>
            <w:r>
              <w:rPr>
                <w:rFonts w:cs="Calibri"/>
                <w:color w:val="000000"/>
                <w:sz w:val="22"/>
                <w:szCs w:val="22"/>
              </w:rPr>
              <w:t>i</w:t>
            </w:r>
            <w:r w:rsidR="00073CBA" w:rsidRPr="00ED51B2">
              <w:rPr>
                <w:rFonts w:cs="Calibri"/>
                <w:color w:val="000000"/>
                <w:sz w:val="22"/>
                <w:szCs w:val="22"/>
              </w:rPr>
              <w:t>nformation about the expertise and training of staff in relation to children and young people with special educational needs and about how specialist expertise will be secured</w:t>
            </w:r>
          </w:p>
          <w:p w:rsidR="00073CBA" w:rsidRPr="00ED51B2" w:rsidRDefault="007B0826" w:rsidP="00B56F78">
            <w:pPr>
              <w:pStyle w:val="ListParagraph"/>
              <w:numPr>
                <w:ilvl w:val="0"/>
                <w:numId w:val="36"/>
              </w:numPr>
              <w:spacing w:before="40" w:after="40"/>
              <w:ind w:left="426" w:hanging="426"/>
              <w:contextualSpacing w:val="0"/>
              <w:rPr>
                <w:rFonts w:cs="Calibri"/>
                <w:sz w:val="22"/>
                <w:szCs w:val="22"/>
              </w:rPr>
            </w:pPr>
            <w:r>
              <w:rPr>
                <w:rFonts w:cs="Calibri"/>
                <w:color w:val="000000"/>
                <w:sz w:val="22"/>
                <w:szCs w:val="22"/>
              </w:rPr>
              <w:t>i</w:t>
            </w:r>
            <w:r w:rsidR="00073CBA" w:rsidRPr="00ED51B2">
              <w:rPr>
                <w:rFonts w:cs="Calibri"/>
                <w:color w:val="000000"/>
                <w:sz w:val="22"/>
                <w:szCs w:val="22"/>
              </w:rPr>
              <w:t>nformation about how equipment and facilities to support children and young people with special educational needs will be secured</w:t>
            </w:r>
          </w:p>
          <w:p w:rsidR="00073CBA" w:rsidRPr="00B60372" w:rsidRDefault="007B0826" w:rsidP="00B60372">
            <w:pPr>
              <w:pStyle w:val="ListParagraph"/>
              <w:numPr>
                <w:ilvl w:val="0"/>
                <w:numId w:val="36"/>
              </w:numPr>
              <w:spacing w:before="40" w:after="40"/>
              <w:ind w:left="426" w:hanging="426"/>
              <w:contextualSpacing w:val="0"/>
              <w:rPr>
                <w:rFonts w:cs="Calibri"/>
                <w:sz w:val="22"/>
                <w:szCs w:val="22"/>
              </w:rPr>
            </w:pPr>
            <w:r>
              <w:rPr>
                <w:rFonts w:cs="Calibri"/>
                <w:color w:val="000000"/>
                <w:sz w:val="22"/>
                <w:szCs w:val="22"/>
              </w:rPr>
              <w:t>h</w:t>
            </w:r>
            <w:r w:rsidR="00073CBA" w:rsidRPr="00ED51B2">
              <w:rPr>
                <w:rFonts w:cs="Calibri"/>
                <w:color w:val="000000"/>
                <w:sz w:val="22"/>
                <w:szCs w:val="22"/>
              </w:rPr>
              <w:t>ow the governing body involves other bodies, including health and social services bodies, local authority support services and voluntary organisations, in meeting the needs of pupils with special educational needs and in supporting the families of such pupils</w:t>
            </w:r>
          </w:p>
          <w:p w:rsidR="00B60372" w:rsidRDefault="00B60372" w:rsidP="00B60372">
            <w:pPr>
              <w:spacing w:before="40" w:after="40"/>
              <w:rPr>
                <w:rFonts w:cs="Calibri"/>
                <w:sz w:val="22"/>
                <w:szCs w:val="22"/>
              </w:rPr>
            </w:pPr>
          </w:p>
          <w:p w:rsidR="00B60372" w:rsidRDefault="00B60372" w:rsidP="00B60372">
            <w:pPr>
              <w:spacing w:before="40" w:after="40"/>
              <w:rPr>
                <w:rFonts w:cs="Calibri"/>
                <w:sz w:val="22"/>
                <w:szCs w:val="22"/>
              </w:rPr>
            </w:pPr>
          </w:p>
          <w:p w:rsidR="00B60372" w:rsidRDefault="00B60372" w:rsidP="00B60372">
            <w:pPr>
              <w:spacing w:before="40" w:after="40"/>
              <w:rPr>
                <w:rFonts w:cs="Calibri"/>
                <w:sz w:val="22"/>
                <w:szCs w:val="22"/>
              </w:rPr>
            </w:pPr>
          </w:p>
          <w:p w:rsidR="00B60372" w:rsidRDefault="00B60372" w:rsidP="00B60372">
            <w:pPr>
              <w:spacing w:before="40" w:after="40"/>
              <w:rPr>
                <w:rFonts w:cs="Calibri"/>
                <w:sz w:val="22"/>
                <w:szCs w:val="22"/>
              </w:rPr>
            </w:pPr>
          </w:p>
          <w:p w:rsidR="00B60372" w:rsidRDefault="00B60372" w:rsidP="00B60372">
            <w:pPr>
              <w:spacing w:before="40" w:after="40"/>
              <w:rPr>
                <w:rFonts w:cs="Calibri"/>
                <w:sz w:val="22"/>
                <w:szCs w:val="22"/>
              </w:rPr>
            </w:pPr>
          </w:p>
          <w:p w:rsidR="00B60372" w:rsidRDefault="00B60372" w:rsidP="00B60372">
            <w:pPr>
              <w:spacing w:before="40" w:after="40"/>
              <w:rPr>
                <w:rFonts w:cs="Calibri"/>
                <w:sz w:val="22"/>
                <w:szCs w:val="22"/>
              </w:rPr>
            </w:pPr>
          </w:p>
          <w:p w:rsidR="00B60372" w:rsidRDefault="00B60372" w:rsidP="00B60372">
            <w:pPr>
              <w:spacing w:before="40" w:after="40"/>
              <w:rPr>
                <w:rFonts w:cs="Calibri"/>
                <w:sz w:val="22"/>
                <w:szCs w:val="22"/>
              </w:rPr>
            </w:pPr>
          </w:p>
          <w:p w:rsidR="00B60372" w:rsidRDefault="00B60372" w:rsidP="00B60372">
            <w:pPr>
              <w:spacing w:before="40" w:after="40"/>
              <w:rPr>
                <w:rFonts w:cs="Calibri"/>
                <w:sz w:val="22"/>
                <w:szCs w:val="22"/>
              </w:rPr>
            </w:pPr>
          </w:p>
          <w:p w:rsidR="00B60372" w:rsidRDefault="00B60372" w:rsidP="00B60372">
            <w:pPr>
              <w:spacing w:before="40" w:after="40"/>
              <w:rPr>
                <w:rFonts w:cs="Calibri"/>
                <w:sz w:val="22"/>
                <w:szCs w:val="22"/>
              </w:rPr>
            </w:pPr>
          </w:p>
          <w:p w:rsidR="00B60372" w:rsidRDefault="00B60372" w:rsidP="00B60372">
            <w:pPr>
              <w:spacing w:before="40" w:after="40"/>
              <w:rPr>
                <w:rFonts w:cs="Calibri"/>
                <w:sz w:val="22"/>
                <w:szCs w:val="22"/>
              </w:rPr>
            </w:pPr>
          </w:p>
          <w:p w:rsidR="00B60372" w:rsidRDefault="00B60372" w:rsidP="00B60372">
            <w:pPr>
              <w:spacing w:before="40" w:after="40"/>
              <w:rPr>
                <w:rFonts w:cs="Calibri"/>
                <w:sz w:val="22"/>
                <w:szCs w:val="22"/>
              </w:rPr>
            </w:pPr>
          </w:p>
          <w:p w:rsidR="00B60372" w:rsidRDefault="00B60372" w:rsidP="00B60372">
            <w:pPr>
              <w:spacing w:before="40" w:after="40"/>
              <w:rPr>
                <w:rFonts w:cs="Calibri"/>
                <w:sz w:val="22"/>
                <w:szCs w:val="22"/>
              </w:rPr>
            </w:pPr>
          </w:p>
          <w:p w:rsidR="00B60372" w:rsidRDefault="00B60372" w:rsidP="00B60372">
            <w:pPr>
              <w:spacing w:before="40" w:after="40"/>
              <w:rPr>
                <w:rFonts w:cs="Calibri"/>
                <w:sz w:val="22"/>
                <w:szCs w:val="22"/>
              </w:rPr>
            </w:pPr>
          </w:p>
          <w:p w:rsidR="00B60372" w:rsidRPr="00B60372" w:rsidRDefault="00B60372" w:rsidP="00B60372">
            <w:pPr>
              <w:spacing w:before="40" w:after="40"/>
              <w:rPr>
                <w:rFonts w:cs="Calibri"/>
                <w:sz w:val="22"/>
                <w:szCs w:val="22"/>
              </w:rPr>
            </w:pPr>
          </w:p>
        </w:tc>
        <w:tc>
          <w:tcPr>
            <w:tcW w:w="1842" w:type="dxa"/>
            <w:tcBorders>
              <w:top w:val="single" w:sz="4" w:space="0" w:color="auto"/>
              <w:bottom w:val="single" w:sz="4" w:space="0" w:color="auto"/>
            </w:tcBorders>
          </w:tcPr>
          <w:p w:rsidR="007B0826" w:rsidRDefault="00073CBA" w:rsidP="00ED51B2">
            <w:pPr>
              <w:spacing w:before="40" w:after="40"/>
              <w:rPr>
                <w:rFonts w:cs="Calibri"/>
                <w:sz w:val="22"/>
                <w:szCs w:val="22"/>
              </w:rPr>
            </w:pPr>
            <w:r w:rsidRPr="00073CBA">
              <w:rPr>
                <w:rFonts w:cs="Calibri"/>
                <w:sz w:val="22"/>
                <w:szCs w:val="22"/>
              </w:rPr>
              <w:lastRenderedPageBreak/>
              <w:t>SEND Regulations 2014</w:t>
            </w:r>
            <w:r w:rsidR="007B0826">
              <w:rPr>
                <w:rFonts w:cs="Calibri"/>
                <w:sz w:val="22"/>
                <w:szCs w:val="22"/>
              </w:rPr>
              <w:t>,</w:t>
            </w:r>
          </w:p>
          <w:p w:rsidR="00073CBA" w:rsidRPr="00ED51B2" w:rsidRDefault="00073CBA" w:rsidP="00ED51B2">
            <w:pPr>
              <w:spacing w:before="40" w:after="40"/>
              <w:rPr>
                <w:rFonts w:cs="Calibri"/>
                <w:sz w:val="22"/>
                <w:szCs w:val="22"/>
              </w:rPr>
            </w:pPr>
            <w:r w:rsidRPr="00073CBA">
              <w:rPr>
                <w:rFonts w:cs="Calibri"/>
                <w:sz w:val="22"/>
                <w:szCs w:val="22"/>
              </w:rPr>
              <w:t>Schedule 1</w:t>
            </w:r>
            <w:r>
              <w:rPr>
                <w:rStyle w:val="FootnoteReference"/>
                <w:rFonts w:cs="Calibri"/>
                <w:sz w:val="22"/>
                <w:szCs w:val="22"/>
              </w:rPr>
              <w:footnoteReference w:id="12"/>
            </w:r>
          </w:p>
        </w:tc>
        <w:tc>
          <w:tcPr>
            <w:tcW w:w="6521" w:type="dxa"/>
            <w:tcBorders>
              <w:top w:val="single" w:sz="4" w:space="0" w:color="auto"/>
              <w:bottom w:val="single" w:sz="4" w:space="0" w:color="auto"/>
            </w:tcBorders>
          </w:tcPr>
          <w:p w:rsidR="00073CBA" w:rsidRPr="00ED51B2" w:rsidRDefault="00073CBA" w:rsidP="00ED51B2">
            <w:pPr>
              <w:spacing w:before="40" w:after="40"/>
              <w:rPr>
                <w:rFonts w:cs="Calibri"/>
                <w:sz w:val="22"/>
                <w:szCs w:val="22"/>
              </w:rPr>
            </w:pPr>
          </w:p>
        </w:tc>
        <w:tc>
          <w:tcPr>
            <w:tcW w:w="1134" w:type="dxa"/>
            <w:tcBorders>
              <w:top w:val="single" w:sz="4" w:space="0" w:color="auto"/>
              <w:bottom w:val="single" w:sz="4" w:space="0" w:color="auto"/>
            </w:tcBorders>
          </w:tcPr>
          <w:p w:rsidR="00073CBA" w:rsidRPr="00ED51B2" w:rsidRDefault="00073CBA" w:rsidP="00ED51B2">
            <w:pPr>
              <w:spacing w:before="40" w:after="40"/>
              <w:jc w:val="center"/>
              <w:rPr>
                <w:rFonts w:cs="Calibri"/>
                <w:sz w:val="22"/>
                <w:szCs w:val="22"/>
              </w:rPr>
            </w:pPr>
          </w:p>
        </w:tc>
      </w:tr>
      <w:tr w:rsidR="00073CBA" w:rsidRPr="00ED51B2" w:rsidTr="00B60372">
        <w:tc>
          <w:tcPr>
            <w:tcW w:w="15134" w:type="dxa"/>
            <w:gridSpan w:val="4"/>
            <w:tcBorders>
              <w:top w:val="single" w:sz="4" w:space="0" w:color="auto"/>
            </w:tcBorders>
          </w:tcPr>
          <w:p w:rsidR="00073CBA" w:rsidRPr="00ED51B2" w:rsidRDefault="00073CBA" w:rsidP="00B60372">
            <w:pPr>
              <w:pStyle w:val="Default"/>
              <w:spacing w:before="40" w:after="40"/>
              <w:rPr>
                <w:rFonts w:ascii="Calibri" w:hAnsi="Calibri" w:cs="Calibri"/>
                <w:b/>
                <w:sz w:val="22"/>
                <w:szCs w:val="22"/>
              </w:rPr>
            </w:pPr>
            <w:r w:rsidRPr="00ED51B2">
              <w:rPr>
                <w:rFonts w:ascii="Calibri" w:hAnsi="Calibri" w:cs="Calibri"/>
                <w:b/>
                <w:sz w:val="22"/>
                <w:szCs w:val="22"/>
              </w:rPr>
              <w:lastRenderedPageBreak/>
              <w:t>Equality Act 2010</w:t>
            </w:r>
          </w:p>
          <w:p w:rsidR="007B0826" w:rsidRDefault="00073CBA" w:rsidP="00B60372">
            <w:pPr>
              <w:pStyle w:val="Default"/>
              <w:spacing w:before="40" w:after="40"/>
              <w:rPr>
                <w:rFonts w:ascii="Calibri" w:hAnsi="Calibri" w:cs="Calibri"/>
                <w:sz w:val="22"/>
                <w:szCs w:val="22"/>
              </w:rPr>
            </w:pPr>
            <w:r w:rsidRPr="00ED51B2">
              <w:rPr>
                <w:rFonts w:ascii="Calibri" w:hAnsi="Calibri" w:cs="Calibri"/>
                <w:sz w:val="22"/>
                <w:szCs w:val="22"/>
              </w:rPr>
              <w:t xml:space="preserve">The Equality Act places a duty on LAs and other public bodies to promote equality of opportunity and make reasonable adjustments so that disabled children and young people are not placed at a substantial disadvantage in their education compared with non-disabled </w:t>
            </w:r>
            <w:r w:rsidR="007B0826">
              <w:rPr>
                <w:rFonts w:ascii="Calibri" w:hAnsi="Calibri" w:cs="Calibri"/>
                <w:sz w:val="22"/>
                <w:szCs w:val="22"/>
              </w:rPr>
              <w:t>young people</w:t>
            </w:r>
            <w:r w:rsidR="0082784D">
              <w:rPr>
                <w:rFonts w:ascii="Calibri" w:hAnsi="Calibri" w:cs="Calibri"/>
                <w:sz w:val="22"/>
                <w:szCs w:val="22"/>
              </w:rPr>
              <w:t>.</w:t>
            </w:r>
          </w:p>
          <w:p w:rsidR="00073CBA" w:rsidRPr="00ED51B2" w:rsidRDefault="00073CBA" w:rsidP="00B60372">
            <w:pPr>
              <w:pStyle w:val="Default"/>
              <w:spacing w:before="40" w:after="40"/>
              <w:rPr>
                <w:rFonts w:ascii="Calibri" w:hAnsi="Calibri" w:cs="Calibri"/>
                <w:sz w:val="22"/>
                <w:szCs w:val="22"/>
              </w:rPr>
            </w:pPr>
            <w:r w:rsidRPr="00ED51B2">
              <w:rPr>
                <w:rFonts w:ascii="Calibri" w:hAnsi="Calibri" w:cs="Calibri"/>
                <w:sz w:val="22"/>
                <w:szCs w:val="22"/>
              </w:rPr>
              <w:t>Schedule 10 of the Act also includes the duty on LAs to produce Accessibility Strategies</w:t>
            </w:r>
            <w:r w:rsidR="007B0826">
              <w:rPr>
                <w:rFonts w:ascii="Calibri" w:hAnsi="Calibri" w:cs="Calibri"/>
                <w:sz w:val="22"/>
                <w:szCs w:val="22"/>
              </w:rPr>
              <w:t>,</w:t>
            </w:r>
            <w:r w:rsidRPr="00ED51B2">
              <w:rPr>
                <w:rFonts w:ascii="Calibri" w:hAnsi="Calibri" w:cs="Calibri"/>
                <w:sz w:val="22"/>
                <w:szCs w:val="22"/>
              </w:rPr>
              <w:t xml:space="preserve"> which was originally introduced by the SEN and Disability Act 2001.</w:t>
            </w:r>
          </w:p>
          <w:p w:rsidR="00073CBA" w:rsidRPr="00ED51B2" w:rsidRDefault="00073CBA" w:rsidP="00B60372">
            <w:pPr>
              <w:pStyle w:val="Default"/>
              <w:spacing w:before="40" w:after="40"/>
              <w:rPr>
                <w:rFonts w:ascii="Calibri" w:hAnsi="Calibri" w:cs="Calibri"/>
                <w:sz w:val="22"/>
                <w:szCs w:val="22"/>
              </w:rPr>
            </w:pPr>
            <w:r w:rsidRPr="00ED51B2">
              <w:rPr>
                <w:rFonts w:ascii="Calibri" w:hAnsi="Calibri" w:cs="Calibri"/>
                <w:sz w:val="22"/>
                <w:szCs w:val="22"/>
              </w:rPr>
              <w:t xml:space="preserve">Details of these duties are set out in the NatSIP briefing </w:t>
            </w:r>
            <w:r w:rsidR="007B0826">
              <w:rPr>
                <w:rFonts w:ascii="Calibri" w:hAnsi="Calibri" w:cs="Calibri"/>
                <w:sz w:val="22"/>
                <w:szCs w:val="22"/>
              </w:rPr>
              <w:t>note</w:t>
            </w:r>
            <w:r w:rsidRPr="00ED51B2">
              <w:rPr>
                <w:rFonts w:ascii="Calibri" w:hAnsi="Calibri" w:cs="Calibri"/>
                <w:sz w:val="22"/>
                <w:szCs w:val="22"/>
              </w:rPr>
              <w:t xml:space="preserve"> </w:t>
            </w:r>
            <w:r w:rsidR="007B0826">
              <w:rPr>
                <w:rFonts w:ascii="Calibri" w:hAnsi="Calibri" w:cs="Calibri"/>
                <w:sz w:val="22"/>
                <w:szCs w:val="22"/>
              </w:rPr>
              <w:t>‘</w:t>
            </w:r>
            <w:r w:rsidRPr="00ED51B2">
              <w:rPr>
                <w:rFonts w:ascii="Calibri" w:hAnsi="Calibri" w:cs="Calibri"/>
                <w:sz w:val="22"/>
                <w:szCs w:val="22"/>
              </w:rPr>
              <w:t>Provision of Equipment and Technology for Children and Young P</w:t>
            </w:r>
            <w:r w:rsidR="007B0826">
              <w:rPr>
                <w:rFonts w:ascii="Calibri" w:hAnsi="Calibri" w:cs="Calibri"/>
                <w:sz w:val="22"/>
                <w:szCs w:val="22"/>
              </w:rPr>
              <w:t>eople with a Sensory Impairment’</w:t>
            </w:r>
            <w:r w:rsidR="0082784D">
              <w:rPr>
                <w:rFonts w:ascii="Calibri" w:hAnsi="Calibri" w:cs="Calibri"/>
                <w:sz w:val="22"/>
                <w:szCs w:val="22"/>
              </w:rPr>
              <w:t>.</w:t>
            </w:r>
            <w:r w:rsidR="007B0826">
              <w:rPr>
                <w:rStyle w:val="FootnoteReference"/>
                <w:rFonts w:ascii="Calibri" w:hAnsi="Calibri" w:cs="Calibri"/>
                <w:sz w:val="22"/>
                <w:szCs w:val="22"/>
              </w:rPr>
              <w:footnoteReference w:id="13"/>
            </w:r>
          </w:p>
          <w:p w:rsidR="00073CBA" w:rsidRPr="00ED51B2" w:rsidRDefault="00073CBA" w:rsidP="007B0826">
            <w:pPr>
              <w:pStyle w:val="Default"/>
              <w:spacing w:before="40" w:after="40"/>
              <w:rPr>
                <w:rFonts w:ascii="Calibri" w:hAnsi="Calibri" w:cs="Calibri"/>
                <w:sz w:val="22"/>
                <w:szCs w:val="22"/>
              </w:rPr>
            </w:pPr>
            <w:r w:rsidRPr="00ED51B2">
              <w:rPr>
                <w:rFonts w:ascii="Calibri" w:hAnsi="Calibri" w:cs="Calibri"/>
                <w:sz w:val="22"/>
                <w:szCs w:val="22"/>
              </w:rPr>
              <w:t xml:space="preserve">Although this </w:t>
            </w:r>
            <w:r w:rsidR="007B0826">
              <w:rPr>
                <w:rFonts w:ascii="Calibri" w:hAnsi="Calibri" w:cs="Calibri"/>
                <w:sz w:val="22"/>
                <w:szCs w:val="22"/>
              </w:rPr>
              <w:t xml:space="preserve">briefing note </w:t>
            </w:r>
            <w:r w:rsidRPr="00ED51B2">
              <w:rPr>
                <w:rFonts w:ascii="Calibri" w:hAnsi="Calibri" w:cs="Calibri"/>
                <w:sz w:val="22"/>
                <w:szCs w:val="22"/>
              </w:rPr>
              <w:t>refers to equipment</w:t>
            </w:r>
            <w:r w:rsidR="007B0826">
              <w:rPr>
                <w:rFonts w:ascii="Calibri" w:hAnsi="Calibri" w:cs="Calibri"/>
                <w:sz w:val="22"/>
                <w:szCs w:val="22"/>
              </w:rPr>
              <w:t>,</w:t>
            </w:r>
            <w:r w:rsidRPr="00ED51B2">
              <w:rPr>
                <w:rFonts w:ascii="Calibri" w:hAnsi="Calibri" w:cs="Calibri"/>
                <w:sz w:val="22"/>
                <w:szCs w:val="22"/>
              </w:rPr>
              <w:t xml:space="preserve"> the same principles and requirement</w:t>
            </w:r>
            <w:r w:rsidR="00FC062C">
              <w:rPr>
                <w:rFonts w:ascii="Calibri" w:hAnsi="Calibri" w:cs="Calibri"/>
                <w:sz w:val="22"/>
                <w:szCs w:val="22"/>
              </w:rPr>
              <w:t>s</w:t>
            </w:r>
            <w:r w:rsidRPr="00ED51B2">
              <w:rPr>
                <w:rFonts w:ascii="Calibri" w:hAnsi="Calibri" w:cs="Calibri"/>
                <w:sz w:val="22"/>
                <w:szCs w:val="22"/>
              </w:rPr>
              <w:t xml:space="preserve"> apply to other aspects of service provision</w:t>
            </w:r>
            <w:r w:rsidR="00FC062C">
              <w:rPr>
                <w:rFonts w:ascii="Calibri" w:hAnsi="Calibri" w:cs="Calibri"/>
                <w:sz w:val="22"/>
                <w:szCs w:val="22"/>
              </w:rPr>
              <w:t>.</w:t>
            </w:r>
          </w:p>
        </w:tc>
      </w:tr>
      <w:tr w:rsidR="00073CBA" w:rsidRPr="00ED51B2" w:rsidTr="00B56F78">
        <w:tc>
          <w:tcPr>
            <w:tcW w:w="5637" w:type="dxa"/>
          </w:tcPr>
          <w:p w:rsidR="00073CBA" w:rsidRPr="00ED51B2" w:rsidRDefault="00073CBA" w:rsidP="00ED51B2">
            <w:pPr>
              <w:pStyle w:val="Default"/>
              <w:spacing w:before="40" w:after="40"/>
              <w:rPr>
                <w:rFonts w:ascii="Calibri" w:hAnsi="Calibri" w:cs="Calibri"/>
                <w:sz w:val="22"/>
                <w:szCs w:val="22"/>
              </w:rPr>
            </w:pPr>
            <w:r w:rsidRPr="00ED51B2">
              <w:rPr>
                <w:rFonts w:ascii="Calibri" w:hAnsi="Calibri" w:cs="Calibri"/>
                <w:b/>
                <w:sz w:val="22"/>
                <w:szCs w:val="22"/>
              </w:rPr>
              <w:t>Public Sector Equality Duty</w:t>
            </w:r>
          </w:p>
          <w:p w:rsidR="00FC062C" w:rsidRDefault="00FC062C" w:rsidP="00ED51B2">
            <w:pPr>
              <w:pStyle w:val="Default"/>
              <w:spacing w:before="40" w:after="40"/>
              <w:rPr>
                <w:rFonts w:ascii="Calibri" w:hAnsi="Calibri" w:cs="Calibri"/>
                <w:sz w:val="22"/>
                <w:szCs w:val="22"/>
              </w:rPr>
            </w:pPr>
            <w:r>
              <w:rPr>
                <w:rFonts w:ascii="Calibri" w:hAnsi="Calibri" w:cs="Calibri"/>
                <w:sz w:val="22"/>
                <w:szCs w:val="22"/>
              </w:rPr>
              <w:t>LAs</w:t>
            </w:r>
            <w:r w:rsidR="00B60372">
              <w:rPr>
                <w:rFonts w:ascii="Calibri" w:hAnsi="Calibri" w:cs="Calibri"/>
                <w:sz w:val="22"/>
                <w:szCs w:val="22"/>
              </w:rPr>
              <w:t xml:space="preserve"> </w:t>
            </w:r>
            <w:r w:rsidR="00073CBA" w:rsidRPr="00ED51B2">
              <w:rPr>
                <w:rFonts w:ascii="Calibri" w:hAnsi="Calibri" w:cs="Calibri"/>
                <w:sz w:val="22"/>
                <w:szCs w:val="22"/>
              </w:rPr>
              <w:t xml:space="preserve">are covered by the public sector equality duty and, when carrying out their functions, </w:t>
            </w:r>
            <w:r w:rsidR="00073CBA" w:rsidRPr="00ED51B2">
              <w:rPr>
                <w:rFonts w:ascii="Calibri" w:hAnsi="Calibri" w:cs="Calibri"/>
                <w:b/>
                <w:bCs/>
                <w:sz w:val="22"/>
                <w:szCs w:val="22"/>
              </w:rPr>
              <w:t xml:space="preserve">must </w:t>
            </w:r>
            <w:r w:rsidR="00073CBA" w:rsidRPr="00ED51B2">
              <w:rPr>
                <w:rFonts w:ascii="Calibri" w:hAnsi="Calibri" w:cs="Calibri"/>
                <w:sz w:val="22"/>
                <w:szCs w:val="22"/>
              </w:rPr>
              <w:t xml:space="preserve">have regard to the need to eliminate discrimination, promote equality of opportunity and foster good relations between disabled and non-disabled children and young people. </w:t>
            </w:r>
          </w:p>
          <w:p w:rsidR="00073CBA" w:rsidRDefault="00073CBA" w:rsidP="00ED51B2">
            <w:pPr>
              <w:pStyle w:val="Default"/>
              <w:spacing w:before="40" w:after="40"/>
              <w:rPr>
                <w:rFonts w:ascii="Calibri" w:hAnsi="Calibri" w:cs="Calibri"/>
                <w:sz w:val="22"/>
                <w:szCs w:val="22"/>
              </w:rPr>
            </w:pPr>
            <w:r w:rsidRPr="00ED51B2">
              <w:rPr>
                <w:rFonts w:ascii="Calibri" w:hAnsi="Calibri" w:cs="Calibri"/>
                <w:sz w:val="22"/>
                <w:szCs w:val="22"/>
              </w:rPr>
              <w:lastRenderedPageBreak/>
              <w:t xml:space="preserve">Public bodies also have specific duties under the public sector equality duty and </w:t>
            </w:r>
            <w:r w:rsidRPr="00ED51B2">
              <w:rPr>
                <w:rFonts w:ascii="Calibri" w:hAnsi="Calibri" w:cs="Calibri"/>
                <w:b/>
                <w:bCs/>
                <w:sz w:val="22"/>
                <w:szCs w:val="22"/>
              </w:rPr>
              <w:t xml:space="preserve">must </w:t>
            </w:r>
            <w:r w:rsidRPr="00ED51B2">
              <w:rPr>
                <w:rFonts w:ascii="Calibri" w:hAnsi="Calibri" w:cs="Calibri"/>
                <w:sz w:val="22"/>
                <w:szCs w:val="22"/>
              </w:rPr>
              <w:t xml:space="preserve">publish information to demonstrate their compliance with this general duty and </w:t>
            </w:r>
            <w:r w:rsidRPr="00ED51B2">
              <w:rPr>
                <w:rFonts w:ascii="Calibri" w:hAnsi="Calibri" w:cs="Calibri"/>
                <w:b/>
                <w:bCs/>
                <w:sz w:val="22"/>
                <w:szCs w:val="22"/>
              </w:rPr>
              <w:t xml:space="preserve">must </w:t>
            </w:r>
            <w:r w:rsidRPr="00ED51B2">
              <w:rPr>
                <w:rFonts w:ascii="Calibri" w:hAnsi="Calibri" w:cs="Calibri"/>
                <w:sz w:val="22"/>
                <w:szCs w:val="22"/>
              </w:rPr>
              <w:t xml:space="preserve">prepare and publish objectives to achieve the core aims of the general duty. </w:t>
            </w:r>
            <w:r w:rsidR="00FC062C">
              <w:rPr>
                <w:rFonts w:ascii="Calibri" w:hAnsi="Calibri" w:cs="Calibri"/>
                <w:sz w:val="22"/>
                <w:szCs w:val="22"/>
              </w:rPr>
              <w:t xml:space="preserve"> </w:t>
            </w:r>
            <w:r w:rsidRPr="00ED51B2">
              <w:rPr>
                <w:rFonts w:ascii="Calibri" w:hAnsi="Calibri" w:cs="Calibri"/>
                <w:sz w:val="22"/>
                <w:szCs w:val="22"/>
              </w:rPr>
              <w:t xml:space="preserve">Objectives </w:t>
            </w:r>
            <w:r w:rsidRPr="00ED51B2">
              <w:rPr>
                <w:rFonts w:ascii="Calibri" w:hAnsi="Calibri" w:cs="Calibri"/>
                <w:b/>
                <w:bCs/>
                <w:sz w:val="22"/>
                <w:szCs w:val="22"/>
              </w:rPr>
              <w:t xml:space="preserve">must </w:t>
            </w:r>
            <w:r w:rsidRPr="00ED51B2">
              <w:rPr>
                <w:rFonts w:ascii="Calibri" w:hAnsi="Calibri" w:cs="Calibri"/>
                <w:sz w:val="22"/>
                <w:szCs w:val="22"/>
              </w:rPr>
              <w:t>be specific and measurable.</w:t>
            </w:r>
          </w:p>
          <w:p w:rsidR="00FC062C" w:rsidRPr="00FC062C" w:rsidRDefault="00073CBA" w:rsidP="00B60372">
            <w:pPr>
              <w:pStyle w:val="Default"/>
              <w:spacing w:before="40" w:after="40"/>
              <w:rPr>
                <w:rFonts w:ascii="Calibri" w:hAnsi="Calibri" w:cs="Calibri"/>
                <w:b/>
                <w:sz w:val="22"/>
                <w:szCs w:val="22"/>
              </w:rPr>
            </w:pPr>
            <w:r w:rsidRPr="00FC062C">
              <w:rPr>
                <w:rFonts w:ascii="Calibri" w:hAnsi="Calibri" w:cs="Calibri"/>
                <w:b/>
                <w:sz w:val="22"/>
                <w:szCs w:val="22"/>
              </w:rPr>
              <w:t xml:space="preserve">Note: </w:t>
            </w:r>
          </w:p>
          <w:p w:rsidR="00073CBA" w:rsidRDefault="00073CBA" w:rsidP="00B60372">
            <w:pPr>
              <w:pStyle w:val="Default"/>
              <w:spacing w:before="40" w:after="40"/>
              <w:rPr>
                <w:rFonts w:ascii="Calibri" w:hAnsi="Calibri" w:cs="Calibri"/>
                <w:sz w:val="22"/>
                <w:szCs w:val="22"/>
              </w:rPr>
            </w:pPr>
            <w:r w:rsidRPr="00ED51B2">
              <w:rPr>
                <w:rFonts w:ascii="Calibri" w:hAnsi="Calibri" w:cs="Calibri"/>
                <w:sz w:val="22"/>
                <w:szCs w:val="22"/>
              </w:rPr>
              <w:t>The Court of Appeal has made it clear that the general equality duty not only applies to general formulation of policy but also applies to decisions made in applying policy in individual cases</w:t>
            </w:r>
            <w:r w:rsidR="00FC062C">
              <w:rPr>
                <w:rFonts w:ascii="Calibri" w:hAnsi="Calibri" w:cs="Calibri"/>
                <w:sz w:val="22"/>
                <w:szCs w:val="22"/>
              </w:rPr>
              <w:t xml:space="preserve"> </w:t>
            </w:r>
            <w:r w:rsidRPr="00ED51B2">
              <w:rPr>
                <w:rFonts w:ascii="Calibri" w:hAnsi="Calibri" w:cs="Calibri"/>
                <w:sz w:val="22"/>
                <w:szCs w:val="22"/>
              </w:rPr>
              <w:t>(</w:t>
            </w:r>
            <w:r w:rsidR="00FC062C">
              <w:rPr>
                <w:rFonts w:ascii="Calibri" w:hAnsi="Calibri" w:cs="Calibri"/>
                <w:sz w:val="22"/>
                <w:szCs w:val="22"/>
              </w:rPr>
              <w:t>e</w:t>
            </w:r>
            <w:r w:rsidRPr="00ED51B2">
              <w:rPr>
                <w:rFonts w:ascii="Calibri" w:hAnsi="Calibri" w:cs="Calibri"/>
                <w:sz w:val="22"/>
                <w:szCs w:val="22"/>
              </w:rPr>
              <w:t>.g. the day to day decisions over providing equipment or services for a child or young person with sensory impairment).</w:t>
            </w:r>
          </w:p>
          <w:p w:rsidR="00B60372" w:rsidRDefault="00B60372" w:rsidP="00B60372">
            <w:pPr>
              <w:pStyle w:val="Default"/>
              <w:spacing w:before="40" w:after="40"/>
              <w:rPr>
                <w:rFonts w:ascii="Calibri" w:hAnsi="Calibri" w:cs="Calibri"/>
                <w:sz w:val="22"/>
                <w:szCs w:val="22"/>
              </w:rPr>
            </w:pPr>
          </w:p>
          <w:p w:rsidR="00B60372" w:rsidRDefault="00B60372" w:rsidP="00B60372">
            <w:pPr>
              <w:pStyle w:val="Default"/>
              <w:spacing w:before="40" w:after="40"/>
              <w:rPr>
                <w:rFonts w:ascii="Calibri" w:hAnsi="Calibri" w:cs="Calibri"/>
                <w:sz w:val="22"/>
                <w:szCs w:val="22"/>
              </w:rPr>
            </w:pPr>
          </w:p>
          <w:p w:rsidR="00B60372" w:rsidRPr="00ED51B2" w:rsidRDefault="00B60372" w:rsidP="00B60372">
            <w:pPr>
              <w:pStyle w:val="Default"/>
              <w:spacing w:before="40" w:after="40"/>
              <w:rPr>
                <w:rFonts w:ascii="Calibri" w:hAnsi="Calibri" w:cs="Calibri"/>
                <w:sz w:val="22"/>
                <w:szCs w:val="22"/>
              </w:rPr>
            </w:pPr>
          </w:p>
        </w:tc>
        <w:tc>
          <w:tcPr>
            <w:tcW w:w="1842" w:type="dxa"/>
          </w:tcPr>
          <w:p w:rsidR="00FC062C" w:rsidRDefault="00FC062C" w:rsidP="00ED51B2">
            <w:pPr>
              <w:spacing w:before="40" w:after="40"/>
              <w:rPr>
                <w:rFonts w:cs="Calibri"/>
                <w:sz w:val="22"/>
                <w:szCs w:val="22"/>
              </w:rPr>
            </w:pPr>
            <w:r>
              <w:rPr>
                <w:rFonts w:cs="Calibri"/>
                <w:sz w:val="22"/>
                <w:szCs w:val="22"/>
              </w:rPr>
              <w:lastRenderedPageBreak/>
              <w:t>SEND CoP 2015,</w:t>
            </w:r>
          </w:p>
          <w:p w:rsidR="00073CBA" w:rsidRPr="00ED51B2" w:rsidRDefault="00073CBA" w:rsidP="00ED51B2">
            <w:pPr>
              <w:spacing w:before="40" w:after="40"/>
              <w:rPr>
                <w:rFonts w:cs="Calibri"/>
                <w:sz w:val="22"/>
                <w:szCs w:val="22"/>
              </w:rPr>
            </w:pPr>
            <w:r w:rsidRPr="00ED51B2">
              <w:rPr>
                <w:rFonts w:cs="Calibri"/>
                <w:sz w:val="22"/>
                <w:szCs w:val="22"/>
              </w:rPr>
              <w:t>Para xix</w:t>
            </w:r>
          </w:p>
        </w:tc>
        <w:tc>
          <w:tcPr>
            <w:tcW w:w="6521" w:type="dxa"/>
          </w:tcPr>
          <w:p w:rsidR="00073CBA" w:rsidRPr="00ED51B2" w:rsidRDefault="00073CBA" w:rsidP="00ED51B2">
            <w:pPr>
              <w:spacing w:before="40" w:after="40"/>
              <w:rPr>
                <w:rFonts w:cs="Calibri"/>
                <w:sz w:val="22"/>
                <w:szCs w:val="22"/>
              </w:rPr>
            </w:pPr>
          </w:p>
        </w:tc>
        <w:tc>
          <w:tcPr>
            <w:tcW w:w="1134" w:type="dxa"/>
          </w:tcPr>
          <w:p w:rsidR="00073CBA" w:rsidRPr="00ED51B2" w:rsidRDefault="00073CBA" w:rsidP="00ED51B2">
            <w:pPr>
              <w:spacing w:before="40" w:after="40"/>
              <w:jc w:val="center"/>
              <w:rPr>
                <w:rFonts w:cs="Calibri"/>
                <w:sz w:val="22"/>
                <w:szCs w:val="22"/>
              </w:rPr>
            </w:pPr>
            <w:r w:rsidRPr="00ED51B2">
              <w:rPr>
                <w:rFonts w:cs="Calibri"/>
                <w:sz w:val="22"/>
                <w:szCs w:val="22"/>
              </w:rPr>
              <w:t>General duty NA</w:t>
            </w:r>
          </w:p>
        </w:tc>
      </w:tr>
      <w:tr w:rsidR="00073CBA" w:rsidRPr="00ED51B2" w:rsidTr="00B56F78">
        <w:tc>
          <w:tcPr>
            <w:tcW w:w="5637" w:type="dxa"/>
          </w:tcPr>
          <w:p w:rsidR="00073CBA" w:rsidRPr="00ED51B2" w:rsidRDefault="00073CBA" w:rsidP="00ED51B2">
            <w:pPr>
              <w:pStyle w:val="Default"/>
              <w:spacing w:before="40" w:after="40"/>
              <w:rPr>
                <w:rFonts w:ascii="Calibri" w:hAnsi="Calibri" w:cs="Calibri"/>
                <w:sz w:val="22"/>
                <w:szCs w:val="22"/>
              </w:rPr>
            </w:pPr>
            <w:r w:rsidRPr="00ED51B2">
              <w:rPr>
                <w:rFonts w:ascii="Calibri" w:hAnsi="Calibri" w:cs="Calibri"/>
                <w:b/>
                <w:sz w:val="22"/>
                <w:szCs w:val="22"/>
              </w:rPr>
              <w:lastRenderedPageBreak/>
              <w:t xml:space="preserve">Reasonable </w:t>
            </w:r>
            <w:r w:rsidR="00FC062C">
              <w:rPr>
                <w:rFonts w:ascii="Calibri" w:hAnsi="Calibri" w:cs="Calibri"/>
                <w:b/>
                <w:sz w:val="22"/>
                <w:szCs w:val="22"/>
              </w:rPr>
              <w:t>A</w:t>
            </w:r>
            <w:r w:rsidRPr="00ED51B2">
              <w:rPr>
                <w:rFonts w:ascii="Calibri" w:hAnsi="Calibri" w:cs="Calibri"/>
                <w:b/>
                <w:sz w:val="22"/>
                <w:szCs w:val="22"/>
              </w:rPr>
              <w:t>djustment Duty</w:t>
            </w:r>
          </w:p>
          <w:p w:rsidR="00073CBA" w:rsidRPr="00ED51B2" w:rsidRDefault="00073CBA" w:rsidP="00ED51B2">
            <w:pPr>
              <w:pStyle w:val="Default"/>
              <w:spacing w:before="40" w:after="40"/>
              <w:rPr>
                <w:rFonts w:ascii="Calibri" w:hAnsi="Calibri" w:cs="Calibri"/>
                <w:sz w:val="22"/>
                <w:szCs w:val="22"/>
              </w:rPr>
            </w:pPr>
            <w:r w:rsidRPr="00ED51B2">
              <w:rPr>
                <w:rFonts w:ascii="Calibri" w:hAnsi="Calibri" w:cs="Calibri"/>
                <w:sz w:val="22"/>
                <w:szCs w:val="22"/>
              </w:rPr>
              <w:t>The Equality Act 2010 sets out the legal obligations that</w:t>
            </w:r>
            <w:r w:rsidR="00B60372">
              <w:rPr>
                <w:rFonts w:ascii="Calibri" w:hAnsi="Calibri" w:cs="Calibri"/>
                <w:sz w:val="22"/>
                <w:szCs w:val="22"/>
              </w:rPr>
              <w:t xml:space="preserve"> l</w:t>
            </w:r>
            <w:r w:rsidRPr="00ED51B2">
              <w:rPr>
                <w:rFonts w:ascii="Calibri" w:hAnsi="Calibri" w:cs="Calibri"/>
                <w:sz w:val="22"/>
                <w:szCs w:val="22"/>
              </w:rPr>
              <w:t>ocal authorities and others have towards disabled children and young people:</w:t>
            </w:r>
          </w:p>
          <w:p w:rsidR="00073CBA" w:rsidRPr="00ED51B2" w:rsidRDefault="00073CBA" w:rsidP="00FC062C">
            <w:pPr>
              <w:pStyle w:val="Default"/>
              <w:spacing w:before="40" w:after="40"/>
              <w:ind w:left="360" w:hanging="360"/>
              <w:rPr>
                <w:rFonts w:ascii="Calibri" w:hAnsi="Calibri" w:cs="Calibri"/>
                <w:sz w:val="22"/>
                <w:szCs w:val="22"/>
              </w:rPr>
            </w:pPr>
            <w:r w:rsidRPr="00ED51B2">
              <w:rPr>
                <w:rFonts w:ascii="Calibri" w:hAnsi="Calibri" w:cs="Calibri"/>
                <w:sz w:val="22"/>
                <w:szCs w:val="22"/>
              </w:rPr>
              <w:t>•</w:t>
            </w:r>
            <w:r w:rsidR="00B60372">
              <w:rPr>
                <w:rFonts w:ascii="Calibri" w:hAnsi="Calibri" w:cs="Calibri"/>
                <w:sz w:val="22"/>
                <w:szCs w:val="22"/>
              </w:rPr>
              <w:tab/>
            </w:r>
            <w:r w:rsidRPr="00ED51B2">
              <w:rPr>
                <w:rFonts w:ascii="Calibri" w:hAnsi="Calibri" w:cs="Calibri"/>
                <w:sz w:val="22"/>
                <w:szCs w:val="22"/>
              </w:rPr>
              <w:t xml:space="preserve">They </w:t>
            </w:r>
            <w:r w:rsidRPr="00ED51B2">
              <w:rPr>
                <w:rFonts w:ascii="Calibri" w:hAnsi="Calibri" w:cs="Calibri"/>
                <w:b/>
                <w:bCs/>
                <w:sz w:val="22"/>
                <w:szCs w:val="22"/>
              </w:rPr>
              <w:t xml:space="preserve">must </w:t>
            </w:r>
            <w:r w:rsidRPr="00ED51B2">
              <w:rPr>
                <w:rFonts w:ascii="Calibri" w:hAnsi="Calibri" w:cs="Calibri"/>
                <w:sz w:val="22"/>
                <w:szCs w:val="22"/>
              </w:rPr>
              <w:t xml:space="preserve">make reasonable adjustments, including the provision of auxiliary aids and services, to ensure that disabled children and young people are not at a substantial disadvantage compared with their peers. This duty is anticipatory </w:t>
            </w:r>
            <w:r w:rsidR="00FC062C">
              <w:rPr>
                <w:rFonts w:ascii="Calibri" w:hAnsi="Calibri" w:cs="Calibri"/>
                <w:sz w:val="22"/>
                <w:szCs w:val="22"/>
              </w:rPr>
              <w:t xml:space="preserve">- </w:t>
            </w:r>
            <w:r w:rsidRPr="00ED51B2">
              <w:rPr>
                <w:rFonts w:ascii="Calibri" w:hAnsi="Calibri" w:cs="Calibri"/>
                <w:sz w:val="22"/>
                <w:szCs w:val="22"/>
              </w:rPr>
              <w:t xml:space="preserve">it requires thought to be given in advance to what disabled children and young people might require and what adjustments might need to be made to prevent that disadvantage </w:t>
            </w:r>
          </w:p>
        </w:tc>
        <w:tc>
          <w:tcPr>
            <w:tcW w:w="1842" w:type="dxa"/>
          </w:tcPr>
          <w:p w:rsidR="00073CBA" w:rsidRPr="00ED51B2" w:rsidRDefault="00FC062C" w:rsidP="00ED51B2">
            <w:pPr>
              <w:spacing w:before="40" w:after="40"/>
              <w:rPr>
                <w:rFonts w:cs="Calibri"/>
                <w:sz w:val="22"/>
                <w:szCs w:val="22"/>
              </w:rPr>
            </w:pPr>
            <w:r>
              <w:rPr>
                <w:rFonts w:cs="Calibri"/>
                <w:sz w:val="22"/>
                <w:szCs w:val="22"/>
              </w:rPr>
              <w:t>SEND CoP 2015,</w:t>
            </w:r>
            <w:r w:rsidR="00073CBA" w:rsidRPr="00ED51B2">
              <w:rPr>
                <w:rFonts w:cs="Calibri"/>
                <w:sz w:val="22"/>
                <w:szCs w:val="22"/>
              </w:rPr>
              <w:t xml:space="preserve"> Para xix</w:t>
            </w:r>
          </w:p>
        </w:tc>
        <w:tc>
          <w:tcPr>
            <w:tcW w:w="6521" w:type="dxa"/>
          </w:tcPr>
          <w:p w:rsidR="00073CBA" w:rsidRPr="00ED51B2" w:rsidRDefault="00073CBA" w:rsidP="00ED51B2">
            <w:pPr>
              <w:spacing w:before="40" w:after="40"/>
              <w:rPr>
                <w:rFonts w:cs="Calibri"/>
                <w:sz w:val="22"/>
                <w:szCs w:val="22"/>
              </w:rPr>
            </w:pPr>
          </w:p>
        </w:tc>
        <w:tc>
          <w:tcPr>
            <w:tcW w:w="1134" w:type="dxa"/>
          </w:tcPr>
          <w:p w:rsidR="00073CBA" w:rsidRPr="00ED51B2" w:rsidRDefault="00073CBA" w:rsidP="00ED51B2">
            <w:pPr>
              <w:spacing w:before="40" w:after="40"/>
              <w:jc w:val="center"/>
              <w:rPr>
                <w:rFonts w:cs="Calibri"/>
                <w:sz w:val="22"/>
                <w:szCs w:val="22"/>
              </w:rPr>
            </w:pPr>
          </w:p>
        </w:tc>
      </w:tr>
      <w:tr w:rsidR="00073CBA" w:rsidRPr="00ED51B2" w:rsidTr="00B56F78">
        <w:tc>
          <w:tcPr>
            <w:tcW w:w="5637" w:type="dxa"/>
          </w:tcPr>
          <w:p w:rsidR="00073CBA" w:rsidRPr="00ED51B2" w:rsidRDefault="00073CBA" w:rsidP="00ED51B2">
            <w:pPr>
              <w:spacing w:before="40" w:after="40"/>
              <w:rPr>
                <w:rFonts w:cs="Calibri"/>
                <w:sz w:val="22"/>
                <w:szCs w:val="22"/>
              </w:rPr>
            </w:pPr>
            <w:r w:rsidRPr="00ED51B2">
              <w:rPr>
                <w:rFonts w:cs="Calibri"/>
                <w:b/>
                <w:sz w:val="22"/>
                <w:szCs w:val="22"/>
              </w:rPr>
              <w:t>Supporting the production, implementation and review of accessibility strategies</w:t>
            </w:r>
          </w:p>
          <w:p w:rsidR="00073CBA" w:rsidRPr="00ED51B2" w:rsidRDefault="00073CBA" w:rsidP="00ED51B2">
            <w:pPr>
              <w:spacing w:before="40" w:after="40"/>
              <w:rPr>
                <w:rFonts w:cs="Calibri"/>
                <w:sz w:val="22"/>
                <w:szCs w:val="22"/>
              </w:rPr>
            </w:pPr>
            <w:r w:rsidRPr="00ED51B2">
              <w:rPr>
                <w:rFonts w:cs="Calibri"/>
                <w:sz w:val="22"/>
                <w:szCs w:val="22"/>
              </w:rPr>
              <w:lastRenderedPageBreak/>
              <w:t>A</w:t>
            </w:r>
            <w:r w:rsidR="00FC062C">
              <w:rPr>
                <w:rFonts w:cs="Calibri"/>
                <w:sz w:val="22"/>
                <w:szCs w:val="22"/>
              </w:rPr>
              <w:t>n</w:t>
            </w:r>
            <w:r w:rsidRPr="00ED51B2">
              <w:rPr>
                <w:rFonts w:cs="Calibri"/>
                <w:sz w:val="22"/>
                <w:szCs w:val="22"/>
              </w:rPr>
              <w:t xml:space="preserve"> LA must</w:t>
            </w:r>
            <w:r w:rsidR="00FC062C">
              <w:rPr>
                <w:rFonts w:cs="Calibri"/>
                <w:sz w:val="22"/>
                <w:szCs w:val="22"/>
              </w:rPr>
              <w:t>,</w:t>
            </w:r>
            <w:r w:rsidRPr="00ED51B2">
              <w:rPr>
                <w:rFonts w:cs="Calibri"/>
                <w:sz w:val="22"/>
                <w:szCs w:val="22"/>
              </w:rPr>
              <w:t xml:space="preserve"> in relation to the schools it is responsible</w:t>
            </w:r>
            <w:r w:rsidR="00FC062C">
              <w:rPr>
                <w:rFonts w:cs="Calibri"/>
                <w:sz w:val="22"/>
                <w:szCs w:val="22"/>
              </w:rPr>
              <w:t xml:space="preserve"> for,</w:t>
            </w:r>
            <w:r w:rsidRPr="00ED51B2">
              <w:rPr>
                <w:rFonts w:cs="Calibri"/>
                <w:sz w:val="22"/>
                <w:szCs w:val="22"/>
              </w:rPr>
              <w:t xml:space="preserve"> prepare an accessibility strategy </w:t>
            </w:r>
            <w:r w:rsidR="00FC062C">
              <w:rPr>
                <w:rFonts w:cs="Calibri"/>
                <w:sz w:val="22"/>
                <w:szCs w:val="22"/>
              </w:rPr>
              <w:t>to</w:t>
            </w:r>
            <w:r w:rsidRPr="00ED51B2">
              <w:rPr>
                <w:rFonts w:cs="Calibri"/>
                <w:sz w:val="22"/>
                <w:szCs w:val="22"/>
              </w:rPr>
              <w:t>:</w:t>
            </w:r>
          </w:p>
          <w:p w:rsidR="00073CBA" w:rsidRPr="00ED51B2" w:rsidRDefault="00FC062C" w:rsidP="00B60372">
            <w:pPr>
              <w:pStyle w:val="ListParagraph"/>
              <w:numPr>
                <w:ilvl w:val="0"/>
                <w:numId w:val="35"/>
              </w:numPr>
              <w:tabs>
                <w:tab w:val="clear" w:pos="720"/>
              </w:tabs>
              <w:spacing w:before="40" w:after="40"/>
              <w:ind w:left="360"/>
              <w:contextualSpacing w:val="0"/>
              <w:rPr>
                <w:rFonts w:cs="Calibri"/>
                <w:sz w:val="22"/>
                <w:szCs w:val="22"/>
              </w:rPr>
            </w:pPr>
            <w:r>
              <w:rPr>
                <w:rFonts w:cs="Calibri"/>
                <w:sz w:val="22"/>
                <w:szCs w:val="22"/>
              </w:rPr>
              <w:t>i</w:t>
            </w:r>
            <w:r w:rsidR="00073CBA" w:rsidRPr="00ED51B2">
              <w:rPr>
                <w:rFonts w:cs="Calibri"/>
                <w:sz w:val="22"/>
                <w:szCs w:val="22"/>
              </w:rPr>
              <w:t>ncreas</w:t>
            </w:r>
            <w:r>
              <w:rPr>
                <w:rFonts w:cs="Calibri"/>
                <w:sz w:val="22"/>
                <w:szCs w:val="22"/>
              </w:rPr>
              <w:t>e</w:t>
            </w:r>
            <w:r w:rsidR="00073CBA" w:rsidRPr="00ED51B2">
              <w:rPr>
                <w:rFonts w:cs="Calibri"/>
                <w:sz w:val="22"/>
                <w:szCs w:val="22"/>
              </w:rPr>
              <w:t xml:space="preserve"> the extent to which disabled pupils can participate in the curriculum</w:t>
            </w:r>
          </w:p>
          <w:p w:rsidR="00073CBA" w:rsidRPr="00ED51B2" w:rsidRDefault="00FC062C" w:rsidP="00B60372">
            <w:pPr>
              <w:pStyle w:val="ListParagraph"/>
              <w:numPr>
                <w:ilvl w:val="0"/>
                <w:numId w:val="35"/>
              </w:numPr>
              <w:tabs>
                <w:tab w:val="clear" w:pos="720"/>
              </w:tabs>
              <w:spacing w:before="40" w:after="40"/>
              <w:ind w:left="360"/>
              <w:contextualSpacing w:val="0"/>
              <w:rPr>
                <w:rFonts w:cs="Calibri"/>
                <w:sz w:val="22"/>
                <w:szCs w:val="22"/>
              </w:rPr>
            </w:pPr>
            <w:r>
              <w:rPr>
                <w:rFonts w:cs="Calibri"/>
                <w:sz w:val="22"/>
                <w:szCs w:val="22"/>
              </w:rPr>
              <w:t>i</w:t>
            </w:r>
            <w:r w:rsidR="00073CBA" w:rsidRPr="00ED51B2">
              <w:rPr>
                <w:rFonts w:cs="Calibri"/>
                <w:sz w:val="22"/>
                <w:szCs w:val="22"/>
              </w:rPr>
              <w:t>mprov</w:t>
            </w:r>
            <w:r>
              <w:rPr>
                <w:rFonts w:cs="Calibri"/>
                <w:sz w:val="22"/>
                <w:szCs w:val="22"/>
              </w:rPr>
              <w:t>e</w:t>
            </w:r>
            <w:r w:rsidR="00073CBA" w:rsidRPr="00ED51B2">
              <w:rPr>
                <w:rFonts w:cs="Calibri"/>
                <w:sz w:val="22"/>
                <w:szCs w:val="22"/>
              </w:rPr>
              <w:t xml:space="preserve"> the physical environment of schools to increase the extent to which disabled pupils can take advantage of the education, benefits, facilities and services offered by school</w:t>
            </w:r>
          </w:p>
          <w:p w:rsidR="00073CBA" w:rsidRPr="00ED51B2" w:rsidRDefault="00FC062C" w:rsidP="00B60372">
            <w:pPr>
              <w:pStyle w:val="ListParagraph"/>
              <w:numPr>
                <w:ilvl w:val="0"/>
                <w:numId w:val="35"/>
              </w:numPr>
              <w:tabs>
                <w:tab w:val="clear" w:pos="720"/>
              </w:tabs>
              <w:spacing w:before="40" w:after="40"/>
              <w:ind w:left="360"/>
              <w:contextualSpacing w:val="0"/>
              <w:rPr>
                <w:rFonts w:cs="Calibri"/>
                <w:sz w:val="22"/>
                <w:szCs w:val="22"/>
              </w:rPr>
            </w:pPr>
            <w:r>
              <w:rPr>
                <w:rFonts w:cs="Calibri"/>
                <w:sz w:val="22"/>
                <w:szCs w:val="22"/>
              </w:rPr>
              <w:t>i</w:t>
            </w:r>
            <w:r w:rsidR="00073CBA" w:rsidRPr="00ED51B2">
              <w:rPr>
                <w:rFonts w:cs="Calibri"/>
                <w:sz w:val="22"/>
                <w:szCs w:val="22"/>
              </w:rPr>
              <w:t>mprov</w:t>
            </w:r>
            <w:r>
              <w:rPr>
                <w:rFonts w:cs="Calibri"/>
                <w:sz w:val="22"/>
                <w:szCs w:val="22"/>
              </w:rPr>
              <w:t xml:space="preserve">e </w:t>
            </w:r>
            <w:r w:rsidR="00073CBA" w:rsidRPr="00ED51B2">
              <w:rPr>
                <w:rFonts w:cs="Calibri"/>
                <w:sz w:val="22"/>
                <w:szCs w:val="22"/>
              </w:rPr>
              <w:t>the delivery to disabled pupils information that is readily accessible to pupils not disabled</w:t>
            </w:r>
            <w:r w:rsidR="0082784D">
              <w:rPr>
                <w:rFonts w:cs="Calibri"/>
                <w:sz w:val="22"/>
                <w:szCs w:val="22"/>
              </w:rPr>
              <w:t>.</w:t>
            </w:r>
          </w:p>
          <w:p w:rsidR="00073CBA" w:rsidRDefault="00073CBA" w:rsidP="00FC062C">
            <w:pPr>
              <w:spacing w:before="40" w:after="40"/>
              <w:rPr>
                <w:rFonts w:cs="Calibri"/>
                <w:sz w:val="22"/>
                <w:szCs w:val="22"/>
              </w:rPr>
            </w:pPr>
            <w:r w:rsidRPr="00ED51B2">
              <w:rPr>
                <w:rFonts w:cs="Calibri"/>
                <w:sz w:val="22"/>
                <w:szCs w:val="22"/>
              </w:rPr>
              <w:t>In preparing a strategy LAs must have regard to the need to allocate adequate resources to implement</w:t>
            </w:r>
            <w:r w:rsidR="00FC062C">
              <w:rPr>
                <w:rFonts w:cs="Calibri"/>
                <w:sz w:val="22"/>
                <w:szCs w:val="22"/>
              </w:rPr>
              <w:t xml:space="preserve"> </w:t>
            </w:r>
            <w:r w:rsidRPr="00ED51B2">
              <w:rPr>
                <w:rFonts w:cs="Calibri"/>
                <w:sz w:val="22"/>
                <w:szCs w:val="22"/>
              </w:rPr>
              <w:t>the strategy</w:t>
            </w:r>
            <w:r w:rsidR="0082784D">
              <w:rPr>
                <w:rFonts w:cs="Calibri"/>
                <w:sz w:val="22"/>
                <w:szCs w:val="22"/>
              </w:rPr>
              <w:t>.</w:t>
            </w:r>
          </w:p>
          <w:p w:rsidR="00FC062C" w:rsidRPr="00ED51B2" w:rsidRDefault="00FC062C" w:rsidP="00FC062C">
            <w:pPr>
              <w:spacing w:before="40" w:after="40"/>
              <w:rPr>
                <w:rFonts w:cs="Calibri"/>
                <w:sz w:val="22"/>
                <w:szCs w:val="22"/>
              </w:rPr>
            </w:pPr>
          </w:p>
        </w:tc>
        <w:tc>
          <w:tcPr>
            <w:tcW w:w="1842" w:type="dxa"/>
          </w:tcPr>
          <w:p w:rsidR="00073CBA" w:rsidRPr="00ED51B2" w:rsidRDefault="00073CBA" w:rsidP="00ED51B2">
            <w:pPr>
              <w:spacing w:before="40" w:after="40"/>
              <w:rPr>
                <w:rFonts w:cs="Calibri"/>
                <w:sz w:val="22"/>
                <w:szCs w:val="22"/>
              </w:rPr>
            </w:pPr>
            <w:r w:rsidRPr="00B60372">
              <w:rPr>
                <w:rFonts w:cs="Calibri"/>
                <w:sz w:val="22"/>
                <w:szCs w:val="22"/>
              </w:rPr>
              <w:lastRenderedPageBreak/>
              <w:t xml:space="preserve">Equality Act 2010. Schedule 10 para </w:t>
            </w:r>
            <w:r w:rsidRPr="00B60372">
              <w:rPr>
                <w:rFonts w:cs="Calibri"/>
                <w:sz w:val="22"/>
                <w:szCs w:val="22"/>
              </w:rPr>
              <w:lastRenderedPageBreak/>
              <w:t>1</w:t>
            </w:r>
            <w:r w:rsidR="00B60372">
              <w:rPr>
                <w:rStyle w:val="FootnoteReference"/>
                <w:rFonts w:cs="Calibri"/>
                <w:sz w:val="22"/>
                <w:szCs w:val="22"/>
              </w:rPr>
              <w:footnoteReference w:id="14"/>
            </w:r>
          </w:p>
        </w:tc>
        <w:tc>
          <w:tcPr>
            <w:tcW w:w="6521" w:type="dxa"/>
          </w:tcPr>
          <w:p w:rsidR="00073CBA" w:rsidRPr="00ED51B2" w:rsidRDefault="00073CBA" w:rsidP="00ED51B2">
            <w:pPr>
              <w:spacing w:before="40" w:after="40"/>
              <w:rPr>
                <w:rFonts w:cs="Calibri"/>
                <w:sz w:val="22"/>
                <w:szCs w:val="22"/>
              </w:rPr>
            </w:pPr>
          </w:p>
        </w:tc>
        <w:tc>
          <w:tcPr>
            <w:tcW w:w="1134" w:type="dxa"/>
          </w:tcPr>
          <w:p w:rsidR="00073CBA" w:rsidRPr="00ED51B2" w:rsidRDefault="00073CBA" w:rsidP="00ED51B2">
            <w:pPr>
              <w:spacing w:before="40" w:after="40"/>
              <w:jc w:val="center"/>
              <w:rPr>
                <w:rFonts w:cs="Calibri"/>
                <w:sz w:val="22"/>
                <w:szCs w:val="22"/>
              </w:rPr>
            </w:pPr>
          </w:p>
        </w:tc>
      </w:tr>
    </w:tbl>
    <w:p w:rsidR="00246CA3" w:rsidRPr="00246CA3" w:rsidRDefault="00246CA3" w:rsidP="00246CA3"/>
    <w:sectPr w:rsidR="00246CA3" w:rsidRPr="00246CA3" w:rsidSect="00ED51B2">
      <w:headerReference w:type="first" r:id="rId14"/>
      <w:footerReference w:type="first" r:id="rId15"/>
      <w:pgSz w:w="16840" w:h="11907" w:orient="landscape" w:code="9"/>
      <w:pgMar w:top="720" w:right="720" w:bottom="720" w:left="72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595" w:rsidRDefault="00DB0595">
      <w:r>
        <w:separator/>
      </w:r>
    </w:p>
    <w:p w:rsidR="00DB0595" w:rsidRDefault="00DB0595"/>
    <w:p w:rsidR="00DB0595" w:rsidRDefault="00DB0595" w:rsidP="00624E02"/>
  </w:endnote>
  <w:endnote w:type="continuationSeparator" w:id="0">
    <w:p w:rsidR="00DB0595" w:rsidRDefault="00DB0595">
      <w:r>
        <w:continuationSeparator/>
      </w:r>
    </w:p>
    <w:p w:rsidR="00DB0595" w:rsidRDefault="00DB0595"/>
    <w:p w:rsidR="00DB0595" w:rsidRDefault="00DB0595" w:rsidP="00624E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215" w:rsidRDefault="006022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73D" w:rsidRPr="00096FB3" w:rsidRDefault="003266CB" w:rsidP="003266CB">
    <w:pPr>
      <w:pStyle w:val="Footer"/>
      <w:pBdr>
        <w:top w:val="single" w:sz="4" w:space="1" w:color="auto"/>
      </w:pBdr>
      <w:tabs>
        <w:tab w:val="clear" w:pos="9356"/>
        <w:tab w:val="right" w:pos="15390"/>
      </w:tabs>
      <w:rPr>
        <w:sz w:val="16"/>
        <w:szCs w:val="16"/>
      </w:rPr>
    </w:pPr>
    <w:r>
      <w:rPr>
        <w:sz w:val="16"/>
        <w:szCs w:val="16"/>
      </w:rPr>
      <w:t xml:space="preserve">Guidance On Service Alignment with Legislation </w:t>
    </w:r>
    <w:r w:rsidRPr="003E4F0D">
      <w:rPr>
        <w:sz w:val="16"/>
        <w:szCs w:val="16"/>
      </w:rPr>
      <w:t xml:space="preserve">– </w:t>
    </w:r>
    <w:r>
      <w:rPr>
        <w:sz w:val="16"/>
        <w:szCs w:val="16"/>
      </w:rPr>
      <w:t>June</w:t>
    </w:r>
    <w:r w:rsidRPr="003E4F0D">
      <w:rPr>
        <w:sz w:val="16"/>
        <w:szCs w:val="16"/>
      </w:rPr>
      <w:t xml:space="preserve"> 2017</w:t>
    </w:r>
    <w:r w:rsidR="00FC062C">
      <w:rPr>
        <w:sz w:val="16"/>
        <w:szCs w:val="16"/>
      </w:rPr>
      <w:t xml:space="preserve"> v</w:t>
    </w:r>
    <w:r w:rsidR="00A07F19">
      <w:rPr>
        <w:sz w:val="16"/>
        <w:szCs w:val="16"/>
      </w:rPr>
      <w:t>5</w:t>
    </w:r>
    <w:r>
      <w:rPr>
        <w:sz w:val="16"/>
        <w:szCs w:val="16"/>
      </w:rPr>
      <w:tab/>
    </w:r>
    <w:r w:rsidR="0032073D">
      <w:rPr>
        <w:sz w:val="16"/>
        <w:szCs w:val="16"/>
      </w:rPr>
      <w:tab/>
    </w:r>
    <w:r w:rsidR="0032073D" w:rsidRPr="002E2715">
      <w:rPr>
        <w:sz w:val="16"/>
        <w:szCs w:val="16"/>
      </w:rPr>
      <w:t xml:space="preserve">Page </w:t>
    </w:r>
    <w:r w:rsidR="0032073D" w:rsidRPr="002E2715">
      <w:rPr>
        <w:sz w:val="16"/>
        <w:szCs w:val="16"/>
      </w:rPr>
      <w:fldChar w:fldCharType="begin"/>
    </w:r>
    <w:r w:rsidR="0032073D" w:rsidRPr="002E2715">
      <w:rPr>
        <w:sz w:val="16"/>
        <w:szCs w:val="16"/>
      </w:rPr>
      <w:instrText xml:space="preserve"> PAGE   \* MERGEFORMAT </w:instrText>
    </w:r>
    <w:r w:rsidR="0032073D" w:rsidRPr="002E2715">
      <w:rPr>
        <w:sz w:val="16"/>
        <w:szCs w:val="16"/>
      </w:rPr>
      <w:fldChar w:fldCharType="separate"/>
    </w:r>
    <w:r w:rsidR="00FF0E01">
      <w:rPr>
        <w:noProof/>
        <w:sz w:val="16"/>
        <w:szCs w:val="16"/>
      </w:rPr>
      <w:t>3</w:t>
    </w:r>
    <w:r w:rsidR="0032073D" w:rsidRPr="002E2715">
      <w:rPr>
        <w:sz w:val="16"/>
        <w:szCs w:val="16"/>
      </w:rPr>
      <w:fldChar w:fldCharType="end"/>
    </w:r>
    <w:r w:rsidR="0032073D" w:rsidRPr="002E2715">
      <w:rPr>
        <w:sz w:val="16"/>
        <w:szCs w:val="16"/>
      </w:rPr>
      <w:t xml:space="preserve"> of </w:t>
    </w:r>
    <w:r w:rsidR="0032073D" w:rsidRPr="002E2715">
      <w:rPr>
        <w:sz w:val="16"/>
        <w:szCs w:val="16"/>
      </w:rPr>
      <w:fldChar w:fldCharType="begin"/>
    </w:r>
    <w:r w:rsidR="0032073D" w:rsidRPr="002E2715">
      <w:rPr>
        <w:sz w:val="16"/>
        <w:szCs w:val="16"/>
      </w:rPr>
      <w:instrText xml:space="preserve"> NUMPAGES   \* MERGEFORMAT </w:instrText>
    </w:r>
    <w:r w:rsidR="0032073D" w:rsidRPr="002E2715">
      <w:rPr>
        <w:sz w:val="16"/>
        <w:szCs w:val="16"/>
      </w:rPr>
      <w:fldChar w:fldCharType="separate"/>
    </w:r>
    <w:r w:rsidR="00FF0E01">
      <w:rPr>
        <w:noProof/>
        <w:sz w:val="16"/>
        <w:szCs w:val="16"/>
      </w:rPr>
      <w:t>16</w:t>
    </w:r>
    <w:r w:rsidR="0032073D" w:rsidRPr="002E2715">
      <w:rP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73D" w:rsidRDefault="00ED51B2" w:rsidP="003266CB">
    <w:pPr>
      <w:pStyle w:val="Footer"/>
      <w:pBdr>
        <w:top w:val="single" w:sz="4" w:space="4" w:color="auto"/>
      </w:pBdr>
      <w:tabs>
        <w:tab w:val="clear" w:pos="9356"/>
        <w:tab w:val="right" w:pos="10440"/>
        <w:tab w:val="right" w:pos="15390"/>
      </w:tabs>
    </w:pPr>
    <w:r>
      <w:rPr>
        <w:sz w:val="16"/>
        <w:szCs w:val="16"/>
      </w:rPr>
      <w:t xml:space="preserve">Guidance On Service Alignment with Legislation </w:t>
    </w:r>
    <w:r w:rsidR="0032073D" w:rsidRPr="003E4F0D">
      <w:rPr>
        <w:sz w:val="16"/>
        <w:szCs w:val="16"/>
      </w:rPr>
      <w:t xml:space="preserve">– </w:t>
    </w:r>
    <w:r>
      <w:rPr>
        <w:sz w:val="16"/>
        <w:szCs w:val="16"/>
      </w:rPr>
      <w:t>June</w:t>
    </w:r>
    <w:r w:rsidR="0032073D" w:rsidRPr="003E4F0D">
      <w:rPr>
        <w:sz w:val="16"/>
        <w:szCs w:val="16"/>
      </w:rPr>
      <w:t xml:space="preserve"> 2017</w:t>
    </w:r>
    <w:r w:rsidR="00897587">
      <w:rPr>
        <w:sz w:val="16"/>
        <w:szCs w:val="16"/>
      </w:rPr>
      <w:t xml:space="preserve"> v</w:t>
    </w:r>
    <w:r w:rsidR="0010350C">
      <w:rPr>
        <w:sz w:val="16"/>
        <w:szCs w:val="16"/>
      </w:rPr>
      <w:t>5</w:t>
    </w:r>
    <w:r>
      <w:rPr>
        <w:sz w:val="16"/>
        <w:szCs w:val="16"/>
      </w:rPr>
      <w:tab/>
    </w:r>
    <w:r w:rsidR="0032073D" w:rsidRPr="00C06644">
      <w:rPr>
        <w:sz w:val="16"/>
        <w:szCs w:val="16"/>
      </w:rPr>
      <w:tab/>
      <w:t xml:space="preserve">Page </w:t>
    </w:r>
    <w:r w:rsidR="0032073D" w:rsidRPr="00C06644">
      <w:rPr>
        <w:sz w:val="16"/>
        <w:szCs w:val="16"/>
      </w:rPr>
      <w:fldChar w:fldCharType="begin"/>
    </w:r>
    <w:r w:rsidR="0032073D" w:rsidRPr="00C06644">
      <w:rPr>
        <w:sz w:val="16"/>
        <w:szCs w:val="16"/>
      </w:rPr>
      <w:instrText xml:space="preserve"> PAGE   \* MERGEFORMAT </w:instrText>
    </w:r>
    <w:r w:rsidR="0032073D" w:rsidRPr="00C06644">
      <w:rPr>
        <w:sz w:val="16"/>
        <w:szCs w:val="16"/>
      </w:rPr>
      <w:fldChar w:fldCharType="separate"/>
    </w:r>
    <w:r w:rsidR="00FF0E01">
      <w:rPr>
        <w:noProof/>
        <w:sz w:val="16"/>
        <w:szCs w:val="16"/>
      </w:rPr>
      <w:t>1</w:t>
    </w:r>
    <w:r w:rsidR="0032073D" w:rsidRPr="00C06644">
      <w:rPr>
        <w:sz w:val="16"/>
        <w:szCs w:val="16"/>
      </w:rPr>
      <w:fldChar w:fldCharType="end"/>
    </w:r>
    <w:r w:rsidR="0032073D" w:rsidRPr="00C06644">
      <w:rPr>
        <w:sz w:val="16"/>
        <w:szCs w:val="16"/>
      </w:rPr>
      <w:t xml:space="preserve"> of </w:t>
    </w:r>
    <w:r w:rsidR="0032073D" w:rsidRPr="00C06644">
      <w:rPr>
        <w:sz w:val="16"/>
        <w:szCs w:val="16"/>
      </w:rPr>
      <w:fldChar w:fldCharType="begin"/>
    </w:r>
    <w:r w:rsidR="0032073D" w:rsidRPr="00C06644">
      <w:rPr>
        <w:sz w:val="16"/>
        <w:szCs w:val="16"/>
      </w:rPr>
      <w:instrText xml:space="preserve"> NUMPAGES   \* MERGEFORMAT </w:instrText>
    </w:r>
    <w:r w:rsidR="0032073D" w:rsidRPr="00C06644">
      <w:rPr>
        <w:sz w:val="16"/>
        <w:szCs w:val="16"/>
      </w:rPr>
      <w:fldChar w:fldCharType="separate"/>
    </w:r>
    <w:r w:rsidR="00FF0E01">
      <w:rPr>
        <w:noProof/>
        <w:sz w:val="16"/>
        <w:szCs w:val="16"/>
      </w:rPr>
      <w:t>16</w:t>
    </w:r>
    <w:r w:rsidR="0032073D" w:rsidRPr="00C06644">
      <w:rPr>
        <w:sz w:val="16"/>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6CB" w:rsidRDefault="003266CB" w:rsidP="003266CB">
    <w:pPr>
      <w:pStyle w:val="Footer"/>
      <w:pBdr>
        <w:top w:val="single" w:sz="4" w:space="4" w:color="auto"/>
      </w:pBdr>
      <w:tabs>
        <w:tab w:val="clear" w:pos="9356"/>
        <w:tab w:val="right" w:pos="15390"/>
      </w:tabs>
    </w:pPr>
    <w:r>
      <w:rPr>
        <w:sz w:val="16"/>
        <w:szCs w:val="16"/>
      </w:rPr>
      <w:t xml:space="preserve">Guidance On Service Alignment with Legislation </w:t>
    </w:r>
    <w:r w:rsidRPr="003E4F0D">
      <w:rPr>
        <w:sz w:val="16"/>
        <w:szCs w:val="16"/>
      </w:rPr>
      <w:t xml:space="preserve">– </w:t>
    </w:r>
    <w:r>
      <w:rPr>
        <w:sz w:val="16"/>
        <w:szCs w:val="16"/>
      </w:rPr>
      <w:t>June</w:t>
    </w:r>
    <w:r w:rsidRPr="003E4F0D">
      <w:rPr>
        <w:sz w:val="16"/>
        <w:szCs w:val="16"/>
      </w:rPr>
      <w:t xml:space="preserve"> 2017</w:t>
    </w:r>
    <w:r w:rsidR="00A07F19">
      <w:rPr>
        <w:sz w:val="16"/>
        <w:szCs w:val="16"/>
      </w:rPr>
      <w:t xml:space="preserve"> v5</w:t>
    </w:r>
    <w:r>
      <w:rPr>
        <w:sz w:val="16"/>
        <w:szCs w:val="16"/>
      </w:rPr>
      <w:tab/>
    </w:r>
    <w:r w:rsidRPr="00C06644">
      <w:rPr>
        <w:sz w:val="16"/>
        <w:szCs w:val="16"/>
      </w:rPr>
      <w:tab/>
      <w:t xml:space="preserve">Page </w:t>
    </w:r>
    <w:r w:rsidRPr="00C06644">
      <w:rPr>
        <w:sz w:val="16"/>
        <w:szCs w:val="16"/>
      </w:rPr>
      <w:fldChar w:fldCharType="begin"/>
    </w:r>
    <w:r w:rsidRPr="00C06644">
      <w:rPr>
        <w:sz w:val="16"/>
        <w:szCs w:val="16"/>
      </w:rPr>
      <w:instrText xml:space="preserve"> PAGE   \* MERGEFORMAT </w:instrText>
    </w:r>
    <w:r w:rsidRPr="00C06644">
      <w:rPr>
        <w:sz w:val="16"/>
        <w:szCs w:val="16"/>
      </w:rPr>
      <w:fldChar w:fldCharType="separate"/>
    </w:r>
    <w:r w:rsidR="00FF0E01">
      <w:rPr>
        <w:noProof/>
        <w:sz w:val="16"/>
        <w:szCs w:val="16"/>
      </w:rPr>
      <w:t>2</w:t>
    </w:r>
    <w:r w:rsidRPr="00C06644">
      <w:rPr>
        <w:sz w:val="16"/>
        <w:szCs w:val="16"/>
      </w:rPr>
      <w:fldChar w:fldCharType="end"/>
    </w:r>
    <w:r w:rsidRPr="00C06644">
      <w:rPr>
        <w:sz w:val="16"/>
        <w:szCs w:val="16"/>
      </w:rPr>
      <w:t xml:space="preserve"> of </w:t>
    </w:r>
    <w:r w:rsidRPr="00C06644">
      <w:rPr>
        <w:sz w:val="16"/>
        <w:szCs w:val="16"/>
      </w:rPr>
      <w:fldChar w:fldCharType="begin"/>
    </w:r>
    <w:r w:rsidRPr="00C06644">
      <w:rPr>
        <w:sz w:val="16"/>
        <w:szCs w:val="16"/>
      </w:rPr>
      <w:instrText xml:space="preserve"> NUMPAGES   \* MERGEFORMAT </w:instrText>
    </w:r>
    <w:r w:rsidRPr="00C06644">
      <w:rPr>
        <w:sz w:val="16"/>
        <w:szCs w:val="16"/>
      </w:rPr>
      <w:fldChar w:fldCharType="separate"/>
    </w:r>
    <w:r w:rsidR="00FF0E01">
      <w:rPr>
        <w:noProof/>
        <w:sz w:val="16"/>
        <w:szCs w:val="16"/>
      </w:rPr>
      <w:t>16</w:t>
    </w:r>
    <w:r w:rsidRPr="00C06644">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595" w:rsidRDefault="00DB0595">
      <w:r>
        <w:separator/>
      </w:r>
    </w:p>
  </w:footnote>
  <w:footnote w:type="continuationSeparator" w:id="0">
    <w:p w:rsidR="00DB0595" w:rsidRPr="00D20782" w:rsidRDefault="00DB0595" w:rsidP="00D20782">
      <w:r w:rsidRPr="00D20782">
        <w:separator/>
      </w:r>
    </w:p>
  </w:footnote>
  <w:footnote w:id="1">
    <w:p w:rsidR="00ED51B2" w:rsidRPr="00602215" w:rsidRDefault="00ED51B2" w:rsidP="00ED51B2">
      <w:pPr>
        <w:pStyle w:val="FootnoteText"/>
        <w:contextualSpacing/>
        <w:rPr>
          <w:sz w:val="20"/>
        </w:rPr>
      </w:pPr>
      <w:r w:rsidRPr="00602215">
        <w:rPr>
          <w:rStyle w:val="FootnoteReference"/>
          <w:sz w:val="20"/>
        </w:rPr>
        <w:footnoteRef/>
      </w:r>
      <w:r w:rsidRPr="00602215">
        <w:rPr>
          <w:sz w:val="20"/>
        </w:rPr>
        <w:t xml:space="preserve"> </w:t>
      </w:r>
      <w:r w:rsidR="002D7EDF" w:rsidRPr="00602215">
        <w:rPr>
          <w:sz w:val="20"/>
        </w:rPr>
        <w:t xml:space="preserve">See </w:t>
      </w:r>
      <w:r w:rsidRPr="00602215">
        <w:rPr>
          <w:sz w:val="20"/>
        </w:rPr>
        <w:t xml:space="preserve">Section 22 of the Children and Families Act </w:t>
      </w:r>
      <w:r w:rsidR="002D7EDF" w:rsidRPr="00602215">
        <w:rPr>
          <w:sz w:val="20"/>
        </w:rPr>
        <w:t xml:space="preserve">(‘the CFA’ or ‘CFA’) which </w:t>
      </w:r>
      <w:r w:rsidRPr="00602215">
        <w:rPr>
          <w:sz w:val="20"/>
        </w:rPr>
        <w:t xml:space="preserve">gives a responsibility to identify all children for </w:t>
      </w:r>
      <w:r w:rsidRPr="00602215">
        <w:rPr>
          <w:b/>
          <w:sz w:val="20"/>
        </w:rPr>
        <w:t>all</w:t>
      </w:r>
      <w:r w:rsidRPr="00602215">
        <w:rPr>
          <w:sz w:val="20"/>
        </w:rPr>
        <w:t xml:space="preserve"> children with SEND. </w:t>
      </w:r>
      <w:r w:rsidR="002D7EDF" w:rsidRPr="00602215">
        <w:rPr>
          <w:sz w:val="20"/>
        </w:rPr>
        <w:t xml:space="preserve"> </w:t>
      </w:r>
      <w:r w:rsidRPr="00602215">
        <w:rPr>
          <w:sz w:val="20"/>
        </w:rPr>
        <w:t>It does not distinguish between those with and without Education Health and Care Plans</w:t>
      </w:r>
    </w:p>
  </w:footnote>
  <w:footnote w:id="2">
    <w:p w:rsidR="003266CB" w:rsidRPr="00602215" w:rsidRDefault="003266CB">
      <w:pPr>
        <w:pStyle w:val="FootnoteText"/>
        <w:contextualSpacing/>
        <w:rPr>
          <w:sz w:val="20"/>
        </w:rPr>
      </w:pPr>
      <w:r w:rsidRPr="00602215">
        <w:rPr>
          <w:rStyle w:val="FootnoteReference"/>
          <w:sz w:val="20"/>
        </w:rPr>
        <w:footnoteRef/>
      </w:r>
      <w:r w:rsidRPr="00602215">
        <w:rPr>
          <w:sz w:val="20"/>
        </w:rPr>
        <w:t xml:space="preserve"> </w:t>
      </w:r>
      <w:r w:rsidR="002D7EDF" w:rsidRPr="00602215">
        <w:rPr>
          <w:sz w:val="20"/>
        </w:rPr>
        <w:t xml:space="preserve">See </w:t>
      </w:r>
      <w:hyperlink r:id="rId1" w:history="1">
        <w:r w:rsidR="002D7EDF" w:rsidRPr="00602215">
          <w:rPr>
            <w:rStyle w:val="Hyperlink"/>
            <w:sz w:val="20"/>
          </w:rPr>
          <w:t>http://www.legislation.gov.uk/ukpga/2014/6/section/22/enacted</w:t>
        </w:r>
      </w:hyperlink>
      <w:r w:rsidR="002D7EDF" w:rsidRPr="00602215">
        <w:rPr>
          <w:sz w:val="20"/>
        </w:rPr>
        <w:t xml:space="preserve"> </w:t>
      </w:r>
    </w:p>
  </w:footnote>
  <w:footnote w:id="3">
    <w:p w:rsidR="00ED51B2" w:rsidRPr="00602215" w:rsidRDefault="00ED51B2" w:rsidP="00ED51B2">
      <w:pPr>
        <w:pStyle w:val="FootnoteText"/>
        <w:contextualSpacing/>
        <w:rPr>
          <w:sz w:val="20"/>
        </w:rPr>
      </w:pPr>
      <w:r w:rsidRPr="00602215">
        <w:rPr>
          <w:rStyle w:val="FootnoteReference"/>
          <w:sz w:val="20"/>
        </w:rPr>
        <w:footnoteRef/>
      </w:r>
      <w:r w:rsidRPr="00602215">
        <w:rPr>
          <w:sz w:val="20"/>
        </w:rPr>
        <w:t xml:space="preserve"> Section 24 of the Children and Families Act gives a responsibility for </w:t>
      </w:r>
      <w:r w:rsidRPr="00602215">
        <w:rPr>
          <w:b/>
          <w:sz w:val="20"/>
        </w:rPr>
        <w:t>all</w:t>
      </w:r>
      <w:r w:rsidRPr="00602215">
        <w:rPr>
          <w:sz w:val="20"/>
        </w:rPr>
        <w:t xml:space="preserve"> children with SEND. It does not distinguish between those with and without Education Health and Care Plans</w:t>
      </w:r>
    </w:p>
  </w:footnote>
  <w:footnote w:id="4">
    <w:p w:rsidR="00D70ECD" w:rsidRPr="00602215" w:rsidRDefault="003266CB" w:rsidP="00D70ECD">
      <w:pPr>
        <w:pStyle w:val="FootnoteText"/>
        <w:spacing w:after="0"/>
        <w:rPr>
          <w:sz w:val="20"/>
        </w:rPr>
      </w:pPr>
      <w:r w:rsidRPr="00602215">
        <w:rPr>
          <w:rStyle w:val="FootnoteReference"/>
          <w:sz w:val="20"/>
        </w:rPr>
        <w:footnoteRef/>
      </w:r>
      <w:r w:rsidRPr="00602215">
        <w:rPr>
          <w:sz w:val="20"/>
        </w:rPr>
        <w:t xml:space="preserve"> </w:t>
      </w:r>
      <w:r w:rsidR="002D7EDF" w:rsidRPr="00602215">
        <w:rPr>
          <w:sz w:val="20"/>
        </w:rPr>
        <w:t xml:space="preserve">See </w:t>
      </w:r>
      <w:hyperlink r:id="rId2" w:history="1">
        <w:r w:rsidR="002D7EDF" w:rsidRPr="00602215">
          <w:rPr>
            <w:rStyle w:val="Hyperlink"/>
            <w:sz w:val="20"/>
          </w:rPr>
          <w:t>http://www.legislation.gov.uk/ukpga/2014/6/section/22/enacted</w:t>
        </w:r>
      </w:hyperlink>
      <w:r w:rsidR="002D7EDF" w:rsidRPr="00602215">
        <w:rPr>
          <w:sz w:val="20"/>
        </w:rPr>
        <w:t xml:space="preserve"> </w:t>
      </w:r>
    </w:p>
  </w:footnote>
  <w:footnote w:id="5">
    <w:p w:rsidR="00602215" w:rsidRDefault="00602215">
      <w:pPr>
        <w:pStyle w:val="FootnoteText"/>
      </w:pPr>
      <w:r w:rsidRPr="00602215">
        <w:rPr>
          <w:rStyle w:val="FootnoteReference"/>
          <w:sz w:val="20"/>
        </w:rPr>
        <w:footnoteRef/>
      </w:r>
      <w:r w:rsidRPr="00602215">
        <w:rPr>
          <w:sz w:val="20"/>
        </w:rPr>
        <w:t xml:space="preserve"> See </w:t>
      </w:r>
      <w:hyperlink r:id="rId3" w:history="1">
        <w:r w:rsidRPr="00602215">
          <w:rPr>
            <w:rStyle w:val="Hyperlink"/>
            <w:sz w:val="20"/>
          </w:rPr>
          <w:t>http://webarchive.nationalarchives.gov.uk/20150408175925/http:/hearing.screening.nhs.uk/standardsandprotocols</w:t>
        </w:r>
      </w:hyperlink>
    </w:p>
  </w:footnote>
  <w:footnote w:id="6">
    <w:p w:rsidR="00A9702F" w:rsidRPr="002B6478" w:rsidRDefault="00A9702F">
      <w:pPr>
        <w:pStyle w:val="FootnoteText"/>
        <w:contextualSpacing/>
        <w:rPr>
          <w:sz w:val="20"/>
        </w:rPr>
      </w:pPr>
      <w:r w:rsidRPr="002B6478">
        <w:rPr>
          <w:rStyle w:val="FootnoteReference"/>
          <w:sz w:val="20"/>
        </w:rPr>
        <w:footnoteRef/>
      </w:r>
      <w:r w:rsidRPr="002B6478">
        <w:rPr>
          <w:sz w:val="20"/>
        </w:rPr>
        <w:t xml:space="preserve"> </w:t>
      </w:r>
      <w:hyperlink r:id="rId4" w:history="1">
        <w:r w:rsidRPr="002B6478">
          <w:rPr>
            <w:rStyle w:val="Hyperlink"/>
            <w:sz w:val="20"/>
          </w:rPr>
          <w:t>http://webarchive.nationalarchives.gov.uk/20150408175925/http:/hearing.screening.nhs.uk/standardsandprotocols</w:t>
        </w:r>
      </w:hyperlink>
      <w:r w:rsidRPr="002B6478">
        <w:rPr>
          <w:sz w:val="20"/>
        </w:rPr>
        <w:t xml:space="preserve"> </w:t>
      </w:r>
    </w:p>
  </w:footnote>
  <w:footnote w:id="7">
    <w:p w:rsidR="00ED51B2" w:rsidRPr="002B6478" w:rsidRDefault="00ED51B2" w:rsidP="00ED51B2">
      <w:pPr>
        <w:pStyle w:val="FootnoteText"/>
        <w:contextualSpacing/>
        <w:rPr>
          <w:sz w:val="20"/>
        </w:rPr>
      </w:pPr>
      <w:r w:rsidRPr="002B6478">
        <w:rPr>
          <w:rStyle w:val="FootnoteReference"/>
          <w:sz w:val="20"/>
        </w:rPr>
        <w:footnoteRef/>
      </w:r>
      <w:r w:rsidRPr="002B6478">
        <w:rPr>
          <w:sz w:val="20"/>
        </w:rPr>
        <w:t xml:space="preserve"> This includes children in receipt of Disability Living Allowance</w:t>
      </w:r>
    </w:p>
  </w:footnote>
  <w:footnote w:id="8">
    <w:p w:rsidR="00A9702F" w:rsidRDefault="00A9702F">
      <w:pPr>
        <w:pStyle w:val="FootnoteText"/>
      </w:pPr>
      <w:r w:rsidRPr="002B6478">
        <w:rPr>
          <w:rStyle w:val="FootnoteReference"/>
          <w:sz w:val="20"/>
        </w:rPr>
        <w:footnoteRef/>
      </w:r>
      <w:r w:rsidRPr="002B6478">
        <w:rPr>
          <w:sz w:val="20"/>
        </w:rPr>
        <w:t xml:space="preserve"> </w:t>
      </w:r>
      <w:hyperlink r:id="rId5" w:history="1">
        <w:r w:rsidRPr="002B6478">
          <w:rPr>
            <w:rStyle w:val="Hyperlink"/>
            <w:sz w:val="20"/>
          </w:rPr>
          <w:t>http://webarchive.nationalarchives.gov.uk/20100202103622/http:/www.opsi.gov.uk/acts/acts2006/pdf/ukpga_20060021_en.pdf</w:t>
        </w:r>
      </w:hyperlink>
      <w:r>
        <w:t xml:space="preserve"> </w:t>
      </w:r>
    </w:p>
  </w:footnote>
  <w:footnote w:id="9">
    <w:p w:rsidR="00A9702F" w:rsidRPr="006213DD" w:rsidRDefault="00A9702F">
      <w:pPr>
        <w:pStyle w:val="FootnoteText"/>
        <w:rPr>
          <w:sz w:val="20"/>
        </w:rPr>
      </w:pPr>
      <w:r w:rsidRPr="006213DD">
        <w:rPr>
          <w:rStyle w:val="FootnoteReference"/>
          <w:sz w:val="20"/>
        </w:rPr>
        <w:footnoteRef/>
      </w:r>
      <w:r w:rsidRPr="006213DD">
        <w:rPr>
          <w:sz w:val="20"/>
        </w:rPr>
        <w:t xml:space="preserve"> </w:t>
      </w:r>
      <w:r w:rsidR="006213DD">
        <w:rPr>
          <w:sz w:val="20"/>
        </w:rPr>
        <w:t xml:space="preserve">See </w:t>
      </w:r>
      <w:hyperlink r:id="rId6" w:history="1">
        <w:r w:rsidRPr="006213DD">
          <w:rPr>
            <w:rStyle w:val="Hyperlink"/>
            <w:sz w:val="20"/>
          </w:rPr>
          <w:t>https://www.gov.uk/government/uploads/system/uploads/attachment_data/file/596460/early_education_and_childcare_statutory_guidance_2017.pdf</w:t>
        </w:r>
      </w:hyperlink>
      <w:r w:rsidRPr="006213DD">
        <w:rPr>
          <w:sz w:val="20"/>
        </w:rPr>
        <w:t xml:space="preserve"> </w:t>
      </w:r>
    </w:p>
  </w:footnote>
  <w:footnote w:id="10">
    <w:p w:rsidR="00A9702F" w:rsidRPr="006213DD" w:rsidRDefault="00A9702F">
      <w:pPr>
        <w:pStyle w:val="FootnoteText"/>
        <w:rPr>
          <w:sz w:val="20"/>
        </w:rPr>
      </w:pPr>
      <w:r w:rsidRPr="006213DD">
        <w:rPr>
          <w:rStyle w:val="FootnoteReference"/>
          <w:sz w:val="20"/>
        </w:rPr>
        <w:footnoteRef/>
      </w:r>
      <w:r w:rsidRPr="006213DD">
        <w:rPr>
          <w:sz w:val="20"/>
        </w:rPr>
        <w:t xml:space="preserve"> </w:t>
      </w:r>
      <w:hyperlink r:id="rId7" w:history="1">
        <w:r w:rsidRPr="006213DD">
          <w:rPr>
            <w:rStyle w:val="Hyperlink"/>
            <w:sz w:val="20"/>
          </w:rPr>
          <w:t>http://webarchive.nationalarchives.gov.uk/20150408175925/http:/hearing.screening.nhs.uk/standardsandprotocols</w:t>
        </w:r>
      </w:hyperlink>
      <w:r w:rsidRPr="006213DD">
        <w:rPr>
          <w:sz w:val="20"/>
        </w:rPr>
        <w:t xml:space="preserve"> </w:t>
      </w:r>
    </w:p>
  </w:footnote>
  <w:footnote w:id="11">
    <w:p w:rsidR="00073CBA" w:rsidRPr="006213DD" w:rsidRDefault="00073CBA">
      <w:pPr>
        <w:pStyle w:val="FootnoteText"/>
        <w:rPr>
          <w:sz w:val="20"/>
        </w:rPr>
      </w:pPr>
      <w:r w:rsidRPr="006213DD">
        <w:rPr>
          <w:rStyle w:val="FootnoteReference"/>
          <w:sz w:val="20"/>
        </w:rPr>
        <w:footnoteRef/>
      </w:r>
      <w:r w:rsidRPr="006213DD">
        <w:rPr>
          <w:sz w:val="20"/>
        </w:rPr>
        <w:t xml:space="preserve"> </w:t>
      </w:r>
      <w:r w:rsidR="006213DD">
        <w:rPr>
          <w:sz w:val="20"/>
        </w:rPr>
        <w:t xml:space="preserve">See </w:t>
      </w:r>
      <w:hyperlink r:id="rId8" w:history="1">
        <w:r w:rsidRPr="006213DD">
          <w:rPr>
            <w:rStyle w:val="Hyperlink"/>
            <w:sz w:val="20"/>
          </w:rPr>
          <w:t>http://www.legislation.gov.uk/ukpga/2014/6/section/66/enacted</w:t>
        </w:r>
      </w:hyperlink>
      <w:r w:rsidRPr="006213DD">
        <w:rPr>
          <w:sz w:val="20"/>
        </w:rPr>
        <w:t xml:space="preserve"> </w:t>
      </w:r>
    </w:p>
  </w:footnote>
  <w:footnote w:id="12">
    <w:p w:rsidR="00073CBA" w:rsidRPr="00FC062C" w:rsidRDefault="00073CBA">
      <w:pPr>
        <w:pStyle w:val="FootnoteText"/>
        <w:rPr>
          <w:sz w:val="20"/>
        </w:rPr>
      </w:pPr>
      <w:r w:rsidRPr="00FC062C">
        <w:rPr>
          <w:rStyle w:val="FootnoteReference"/>
          <w:sz w:val="20"/>
        </w:rPr>
        <w:footnoteRef/>
      </w:r>
      <w:r w:rsidRPr="00FC062C">
        <w:rPr>
          <w:sz w:val="20"/>
        </w:rPr>
        <w:t xml:space="preserve"> </w:t>
      </w:r>
      <w:r w:rsidR="00FC062C" w:rsidRPr="00FC062C">
        <w:rPr>
          <w:sz w:val="20"/>
        </w:rPr>
        <w:t xml:space="preserve">See </w:t>
      </w:r>
      <w:hyperlink r:id="rId9" w:history="1">
        <w:r w:rsidRPr="00FC062C">
          <w:rPr>
            <w:rStyle w:val="Hyperlink"/>
            <w:sz w:val="20"/>
          </w:rPr>
          <w:t>http://www.legislation.gov.uk/uksi/2014/1530/schedule/1/made</w:t>
        </w:r>
      </w:hyperlink>
      <w:r w:rsidRPr="00FC062C">
        <w:rPr>
          <w:sz w:val="20"/>
        </w:rPr>
        <w:t xml:space="preserve"> </w:t>
      </w:r>
    </w:p>
  </w:footnote>
  <w:footnote w:id="13">
    <w:p w:rsidR="007B0826" w:rsidRPr="007B0826" w:rsidRDefault="007B0826">
      <w:pPr>
        <w:pStyle w:val="FootnoteText"/>
        <w:rPr>
          <w:sz w:val="20"/>
        </w:rPr>
      </w:pPr>
      <w:r w:rsidRPr="007B0826">
        <w:rPr>
          <w:rStyle w:val="FootnoteReference"/>
          <w:sz w:val="20"/>
        </w:rPr>
        <w:footnoteRef/>
      </w:r>
      <w:r w:rsidRPr="007B0826">
        <w:rPr>
          <w:sz w:val="20"/>
        </w:rPr>
        <w:t xml:space="preserve"> See </w:t>
      </w:r>
      <w:hyperlink r:id="rId10" w:history="1">
        <w:r w:rsidRPr="00614E5B">
          <w:rPr>
            <w:rStyle w:val="Hyperlink"/>
            <w:sz w:val="20"/>
          </w:rPr>
          <w:t>https://www.natsip.org.uk/natsip-documents/natsip-briefing-documents-and-papers/provision-of-equipment-and-technology-briefings/1226-provision-of-equipment-and-technology-for-cyp-with-si</w:t>
        </w:r>
      </w:hyperlink>
      <w:r w:rsidRPr="007B0826">
        <w:rPr>
          <w:sz w:val="20"/>
        </w:rPr>
        <w:t xml:space="preserve"> </w:t>
      </w:r>
    </w:p>
  </w:footnote>
  <w:footnote w:id="14">
    <w:p w:rsidR="00B60372" w:rsidRPr="00FC062C" w:rsidRDefault="00B60372">
      <w:pPr>
        <w:pStyle w:val="FootnoteText"/>
        <w:rPr>
          <w:sz w:val="20"/>
        </w:rPr>
      </w:pPr>
      <w:r w:rsidRPr="00FC062C">
        <w:rPr>
          <w:rStyle w:val="FootnoteReference"/>
          <w:sz w:val="20"/>
        </w:rPr>
        <w:footnoteRef/>
      </w:r>
      <w:r w:rsidRPr="00FC062C">
        <w:rPr>
          <w:sz w:val="20"/>
        </w:rPr>
        <w:t xml:space="preserve"> </w:t>
      </w:r>
      <w:r w:rsidR="00FC062C">
        <w:rPr>
          <w:sz w:val="20"/>
        </w:rPr>
        <w:t xml:space="preserve">See </w:t>
      </w:r>
      <w:hyperlink r:id="rId11" w:history="1">
        <w:r w:rsidRPr="00FC062C">
          <w:rPr>
            <w:rStyle w:val="Hyperlink"/>
            <w:sz w:val="20"/>
          </w:rPr>
          <w:t>http://www.legislation.gov.uk/ukpga/2010/15/schedule/10</w:t>
        </w:r>
      </w:hyperlink>
      <w:r w:rsidRPr="00FC062C">
        <w:rPr>
          <w:sz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215" w:rsidRDefault="006022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215" w:rsidRDefault="0060221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73D" w:rsidRDefault="0032073D" w:rsidP="00850B26">
    <w:pPr>
      <w:pStyle w:val="Header"/>
      <w:framePr w:hSpace="180" w:wrap="around" w:vAnchor="text" w:hAnchor="page" w:x="8027" w:y="-245"/>
      <w:spacing w:before="120"/>
      <w:rPr>
        <w:b/>
        <w:sz w:val="28"/>
        <w:szCs w:val="28"/>
      </w:rPr>
    </w:pPr>
    <w:r>
      <w:rPr>
        <w:b/>
        <w:noProof/>
        <w:sz w:val="28"/>
        <w:szCs w:val="28"/>
      </w:rPr>
      <w:drawing>
        <wp:inline distT="0" distB="0" distL="0" distR="0" wp14:anchorId="4732423D" wp14:editId="6E23FCCB">
          <wp:extent cx="2039112" cy="621792"/>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TSIP-LOGO.jpg"/>
                  <pic:cNvPicPr/>
                </pic:nvPicPr>
                <pic:blipFill>
                  <a:blip r:embed="rId1">
                    <a:extLst>
                      <a:ext uri="{28A0092B-C50C-407E-A947-70E740481C1C}">
                        <a14:useLocalDpi xmlns:a14="http://schemas.microsoft.com/office/drawing/2010/main" val="0"/>
                      </a:ext>
                    </a:extLst>
                  </a:blip>
                  <a:stretch>
                    <a:fillRect/>
                  </a:stretch>
                </pic:blipFill>
                <pic:spPr>
                  <a:xfrm>
                    <a:off x="0" y="0"/>
                    <a:ext cx="2039112" cy="621792"/>
                  </a:xfrm>
                  <a:prstGeom prst="rect">
                    <a:avLst/>
                  </a:prstGeom>
                </pic:spPr>
              </pic:pic>
            </a:graphicData>
          </a:graphic>
        </wp:inline>
      </w:drawing>
    </w:r>
  </w:p>
  <w:p w:rsidR="0032073D" w:rsidRPr="00734CFF" w:rsidRDefault="0032073D" w:rsidP="00734CFF">
    <w:pPr>
      <w:pStyle w:val="Header"/>
      <w:pBdr>
        <w:bottom w:val="single" w:sz="4" w:space="4" w:color="auto"/>
      </w:pBdr>
      <w:rPr>
        <w:b/>
        <w:sz w:val="32"/>
        <w:szCs w:val="32"/>
      </w:rPr>
    </w:pPr>
    <w:r w:rsidRPr="00734CFF">
      <w:rPr>
        <w:b/>
        <w:sz w:val="32"/>
        <w:szCs w:val="32"/>
      </w:rPr>
      <w:t>National Sensory Impairment Partnership</w:t>
    </w:r>
  </w:p>
  <w:p w:rsidR="0032073D" w:rsidRPr="00734CFF" w:rsidRDefault="00365F5B" w:rsidP="00734CFF">
    <w:pPr>
      <w:pStyle w:val="Header"/>
      <w:pBdr>
        <w:bottom w:val="single" w:sz="4" w:space="4" w:color="auto"/>
      </w:pBdr>
      <w:rPr>
        <w:b/>
        <w:sz w:val="40"/>
        <w:szCs w:val="40"/>
      </w:rPr>
    </w:pPr>
    <w:r>
      <w:rPr>
        <w:b/>
        <w:sz w:val="40"/>
        <w:szCs w:val="40"/>
      </w:rPr>
      <w:t>CHECKLIST FOR</w:t>
    </w:r>
    <w:r w:rsidR="00893386">
      <w:rPr>
        <w:b/>
        <w:sz w:val="40"/>
        <w:szCs w:val="40"/>
      </w:rPr>
      <w:t xml:space="preserve"> </w:t>
    </w:r>
    <w:r w:rsidR="00ED51B2">
      <w:rPr>
        <w:b/>
        <w:sz w:val="40"/>
        <w:szCs w:val="40"/>
      </w:rPr>
      <w:t xml:space="preserve">SERVICE ALIGNMENT </w:t>
    </w:r>
    <w:r w:rsidR="00ED51B2">
      <w:rPr>
        <w:b/>
        <w:sz w:val="40"/>
        <w:szCs w:val="40"/>
      </w:rPr>
      <w:br/>
      <w:t>WITH LEGISLATION</w:t>
    </w:r>
    <w:r>
      <w:rPr>
        <w:b/>
        <w:sz w:val="40"/>
        <w:szCs w:val="40"/>
      </w:rPr>
      <w:t xml:space="preserve"> AND GUIDANCE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1B2" w:rsidRPr="00ED51B2" w:rsidRDefault="00ED51B2" w:rsidP="00ED51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320C65AC"/>
    <w:lvl w:ilvl="0">
      <w:start w:val="1"/>
      <w:numFmt w:val="bullet"/>
      <w:pStyle w:val="ListBullet5"/>
      <w:lvlText w:val=""/>
      <w:lvlJc w:val="left"/>
      <w:pPr>
        <w:tabs>
          <w:tab w:val="num" w:pos="1492"/>
        </w:tabs>
        <w:ind w:left="1492" w:hanging="360"/>
      </w:pPr>
      <w:rPr>
        <w:rFonts w:ascii="Symbol" w:hAnsi="Symbol" w:hint="default"/>
      </w:rPr>
    </w:lvl>
  </w:abstractNum>
  <w:abstractNum w:abstractNumId="1">
    <w:nsid w:val="FFFFFF81"/>
    <w:multiLevelType w:val="singleLevel"/>
    <w:tmpl w:val="CD0E3E3E"/>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2"/>
    <w:multiLevelType w:val="singleLevel"/>
    <w:tmpl w:val="E1645888"/>
    <w:lvl w:ilvl="0">
      <w:start w:val="1"/>
      <w:numFmt w:val="bullet"/>
      <w:pStyle w:val="ListBullet3"/>
      <w:lvlText w:val=""/>
      <w:lvlJc w:val="left"/>
      <w:pPr>
        <w:tabs>
          <w:tab w:val="num" w:pos="926"/>
        </w:tabs>
        <w:ind w:left="926" w:hanging="360"/>
      </w:pPr>
      <w:rPr>
        <w:rFonts w:ascii="Symbol" w:hAnsi="Symbol" w:hint="default"/>
      </w:rPr>
    </w:lvl>
  </w:abstractNum>
  <w:abstractNum w:abstractNumId="3">
    <w:nsid w:val="FFFFFF83"/>
    <w:multiLevelType w:val="singleLevel"/>
    <w:tmpl w:val="822088A0"/>
    <w:lvl w:ilvl="0">
      <w:start w:val="1"/>
      <w:numFmt w:val="bullet"/>
      <w:pStyle w:val="ListBullet2"/>
      <w:lvlText w:val=""/>
      <w:lvlJc w:val="left"/>
      <w:pPr>
        <w:tabs>
          <w:tab w:val="num" w:pos="643"/>
        </w:tabs>
        <w:ind w:left="643" w:hanging="360"/>
      </w:pPr>
      <w:rPr>
        <w:rFonts w:ascii="Symbol" w:hAnsi="Symbol" w:hint="default"/>
      </w:rPr>
    </w:lvl>
  </w:abstractNum>
  <w:abstractNum w:abstractNumId="4">
    <w:nsid w:val="FFFFFF88"/>
    <w:multiLevelType w:val="singleLevel"/>
    <w:tmpl w:val="616CFC9A"/>
    <w:lvl w:ilvl="0">
      <w:start w:val="1"/>
      <w:numFmt w:val="decimal"/>
      <w:pStyle w:val="ListNumber"/>
      <w:lvlText w:val="%1."/>
      <w:lvlJc w:val="left"/>
      <w:pPr>
        <w:tabs>
          <w:tab w:val="num" w:pos="360"/>
        </w:tabs>
        <w:ind w:left="360" w:hanging="360"/>
      </w:pPr>
    </w:lvl>
  </w:abstractNum>
  <w:abstractNum w:abstractNumId="5">
    <w:nsid w:val="FFFFFF89"/>
    <w:multiLevelType w:val="singleLevel"/>
    <w:tmpl w:val="337EFAB4"/>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18A2C81"/>
    <w:multiLevelType w:val="hybridMultilevel"/>
    <w:tmpl w:val="CA023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336602B"/>
    <w:multiLevelType w:val="hybridMultilevel"/>
    <w:tmpl w:val="29EEF1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05A37206"/>
    <w:multiLevelType w:val="hybridMultilevel"/>
    <w:tmpl w:val="566E29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075753A6"/>
    <w:multiLevelType w:val="hybridMultilevel"/>
    <w:tmpl w:val="781EB6F2"/>
    <w:lvl w:ilvl="0" w:tplc="A66AD9C2">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089159BF"/>
    <w:multiLevelType w:val="hybridMultilevel"/>
    <w:tmpl w:val="7C626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01A4951"/>
    <w:multiLevelType w:val="hybridMultilevel"/>
    <w:tmpl w:val="D65AD492"/>
    <w:lvl w:ilvl="0" w:tplc="8104D3AA">
      <w:start w:val="1"/>
      <w:numFmt w:val="bullet"/>
      <w:lvlText w:val="•"/>
      <w:lvlJc w:val="left"/>
      <w:pPr>
        <w:tabs>
          <w:tab w:val="num" w:pos="720"/>
        </w:tabs>
        <w:ind w:left="720" w:hanging="360"/>
      </w:pPr>
      <w:rPr>
        <w:rFonts w:ascii="Arial" w:hAnsi="Arial" w:hint="default"/>
      </w:rPr>
    </w:lvl>
    <w:lvl w:ilvl="1" w:tplc="DD6CF1B4" w:tentative="1">
      <w:start w:val="1"/>
      <w:numFmt w:val="bullet"/>
      <w:lvlText w:val="•"/>
      <w:lvlJc w:val="left"/>
      <w:pPr>
        <w:tabs>
          <w:tab w:val="num" w:pos="1440"/>
        </w:tabs>
        <w:ind w:left="1440" w:hanging="360"/>
      </w:pPr>
      <w:rPr>
        <w:rFonts w:ascii="Arial" w:hAnsi="Arial" w:hint="default"/>
      </w:rPr>
    </w:lvl>
    <w:lvl w:ilvl="2" w:tplc="20885C50" w:tentative="1">
      <w:start w:val="1"/>
      <w:numFmt w:val="bullet"/>
      <w:lvlText w:val="•"/>
      <w:lvlJc w:val="left"/>
      <w:pPr>
        <w:tabs>
          <w:tab w:val="num" w:pos="2160"/>
        </w:tabs>
        <w:ind w:left="2160" w:hanging="360"/>
      </w:pPr>
      <w:rPr>
        <w:rFonts w:ascii="Arial" w:hAnsi="Arial" w:hint="default"/>
      </w:rPr>
    </w:lvl>
    <w:lvl w:ilvl="3" w:tplc="E55CBFF6" w:tentative="1">
      <w:start w:val="1"/>
      <w:numFmt w:val="bullet"/>
      <w:lvlText w:val="•"/>
      <w:lvlJc w:val="left"/>
      <w:pPr>
        <w:tabs>
          <w:tab w:val="num" w:pos="2880"/>
        </w:tabs>
        <w:ind w:left="2880" w:hanging="360"/>
      </w:pPr>
      <w:rPr>
        <w:rFonts w:ascii="Arial" w:hAnsi="Arial" w:hint="default"/>
      </w:rPr>
    </w:lvl>
    <w:lvl w:ilvl="4" w:tplc="BED22482" w:tentative="1">
      <w:start w:val="1"/>
      <w:numFmt w:val="bullet"/>
      <w:lvlText w:val="•"/>
      <w:lvlJc w:val="left"/>
      <w:pPr>
        <w:tabs>
          <w:tab w:val="num" w:pos="3600"/>
        </w:tabs>
        <w:ind w:left="3600" w:hanging="360"/>
      </w:pPr>
      <w:rPr>
        <w:rFonts w:ascii="Arial" w:hAnsi="Arial" w:hint="default"/>
      </w:rPr>
    </w:lvl>
    <w:lvl w:ilvl="5" w:tplc="0A3A96EA" w:tentative="1">
      <w:start w:val="1"/>
      <w:numFmt w:val="bullet"/>
      <w:lvlText w:val="•"/>
      <w:lvlJc w:val="left"/>
      <w:pPr>
        <w:tabs>
          <w:tab w:val="num" w:pos="4320"/>
        </w:tabs>
        <w:ind w:left="4320" w:hanging="360"/>
      </w:pPr>
      <w:rPr>
        <w:rFonts w:ascii="Arial" w:hAnsi="Arial" w:hint="default"/>
      </w:rPr>
    </w:lvl>
    <w:lvl w:ilvl="6" w:tplc="FEB65538" w:tentative="1">
      <w:start w:val="1"/>
      <w:numFmt w:val="bullet"/>
      <w:lvlText w:val="•"/>
      <w:lvlJc w:val="left"/>
      <w:pPr>
        <w:tabs>
          <w:tab w:val="num" w:pos="5040"/>
        </w:tabs>
        <w:ind w:left="5040" w:hanging="360"/>
      </w:pPr>
      <w:rPr>
        <w:rFonts w:ascii="Arial" w:hAnsi="Arial" w:hint="default"/>
      </w:rPr>
    </w:lvl>
    <w:lvl w:ilvl="7" w:tplc="DE9810FC" w:tentative="1">
      <w:start w:val="1"/>
      <w:numFmt w:val="bullet"/>
      <w:lvlText w:val="•"/>
      <w:lvlJc w:val="left"/>
      <w:pPr>
        <w:tabs>
          <w:tab w:val="num" w:pos="5760"/>
        </w:tabs>
        <w:ind w:left="5760" w:hanging="360"/>
      </w:pPr>
      <w:rPr>
        <w:rFonts w:ascii="Arial" w:hAnsi="Arial" w:hint="default"/>
      </w:rPr>
    </w:lvl>
    <w:lvl w:ilvl="8" w:tplc="19620618" w:tentative="1">
      <w:start w:val="1"/>
      <w:numFmt w:val="bullet"/>
      <w:lvlText w:val="•"/>
      <w:lvlJc w:val="left"/>
      <w:pPr>
        <w:tabs>
          <w:tab w:val="num" w:pos="6480"/>
        </w:tabs>
        <w:ind w:left="6480" w:hanging="360"/>
      </w:pPr>
      <w:rPr>
        <w:rFonts w:ascii="Arial" w:hAnsi="Arial" w:hint="default"/>
      </w:rPr>
    </w:lvl>
  </w:abstractNum>
  <w:abstractNum w:abstractNumId="12">
    <w:nsid w:val="22787ECF"/>
    <w:multiLevelType w:val="hybridMultilevel"/>
    <w:tmpl w:val="580AD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33F6D80"/>
    <w:multiLevelType w:val="hybridMultilevel"/>
    <w:tmpl w:val="9E1E6660"/>
    <w:lvl w:ilvl="0" w:tplc="D31C4FE2">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53D594D"/>
    <w:multiLevelType w:val="hybridMultilevel"/>
    <w:tmpl w:val="30D27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56E77CB"/>
    <w:multiLevelType w:val="hybridMultilevel"/>
    <w:tmpl w:val="32AEA31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36452B11"/>
    <w:multiLevelType w:val="hybridMultilevel"/>
    <w:tmpl w:val="E5EE81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3AF86EBA"/>
    <w:multiLevelType w:val="hybridMultilevel"/>
    <w:tmpl w:val="5BDC7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F9D2075"/>
    <w:multiLevelType w:val="hybridMultilevel"/>
    <w:tmpl w:val="E3480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2306F29"/>
    <w:multiLevelType w:val="hybridMultilevel"/>
    <w:tmpl w:val="8D28D5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48A1035E"/>
    <w:multiLevelType w:val="hybridMultilevel"/>
    <w:tmpl w:val="C3923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D0F051A"/>
    <w:multiLevelType w:val="hybridMultilevel"/>
    <w:tmpl w:val="BC98A72A"/>
    <w:lvl w:ilvl="0" w:tplc="98EAD690">
      <w:start w:val="1"/>
      <w:numFmt w:val="bullet"/>
      <w:lvlText w:val="•"/>
      <w:lvlJc w:val="left"/>
      <w:pPr>
        <w:tabs>
          <w:tab w:val="num" w:pos="720"/>
        </w:tabs>
        <w:ind w:left="720" w:hanging="360"/>
      </w:pPr>
      <w:rPr>
        <w:rFonts w:ascii="Times New Roman" w:hAnsi="Times New Roman" w:hint="default"/>
      </w:rPr>
    </w:lvl>
    <w:lvl w:ilvl="1" w:tplc="0A1C1FA8" w:tentative="1">
      <w:start w:val="1"/>
      <w:numFmt w:val="bullet"/>
      <w:lvlText w:val="•"/>
      <w:lvlJc w:val="left"/>
      <w:pPr>
        <w:tabs>
          <w:tab w:val="num" w:pos="1440"/>
        </w:tabs>
        <w:ind w:left="1440" w:hanging="360"/>
      </w:pPr>
      <w:rPr>
        <w:rFonts w:ascii="Times New Roman" w:hAnsi="Times New Roman" w:hint="default"/>
      </w:rPr>
    </w:lvl>
    <w:lvl w:ilvl="2" w:tplc="C3948000" w:tentative="1">
      <w:start w:val="1"/>
      <w:numFmt w:val="bullet"/>
      <w:lvlText w:val="•"/>
      <w:lvlJc w:val="left"/>
      <w:pPr>
        <w:tabs>
          <w:tab w:val="num" w:pos="2160"/>
        </w:tabs>
        <w:ind w:left="2160" w:hanging="360"/>
      </w:pPr>
      <w:rPr>
        <w:rFonts w:ascii="Times New Roman" w:hAnsi="Times New Roman" w:hint="default"/>
      </w:rPr>
    </w:lvl>
    <w:lvl w:ilvl="3" w:tplc="21FC24F0" w:tentative="1">
      <w:start w:val="1"/>
      <w:numFmt w:val="bullet"/>
      <w:lvlText w:val="•"/>
      <w:lvlJc w:val="left"/>
      <w:pPr>
        <w:tabs>
          <w:tab w:val="num" w:pos="2880"/>
        </w:tabs>
        <w:ind w:left="2880" w:hanging="360"/>
      </w:pPr>
      <w:rPr>
        <w:rFonts w:ascii="Times New Roman" w:hAnsi="Times New Roman" w:hint="default"/>
      </w:rPr>
    </w:lvl>
    <w:lvl w:ilvl="4" w:tplc="753C21FE" w:tentative="1">
      <w:start w:val="1"/>
      <w:numFmt w:val="bullet"/>
      <w:lvlText w:val="•"/>
      <w:lvlJc w:val="left"/>
      <w:pPr>
        <w:tabs>
          <w:tab w:val="num" w:pos="3600"/>
        </w:tabs>
        <w:ind w:left="3600" w:hanging="360"/>
      </w:pPr>
      <w:rPr>
        <w:rFonts w:ascii="Times New Roman" w:hAnsi="Times New Roman" w:hint="default"/>
      </w:rPr>
    </w:lvl>
    <w:lvl w:ilvl="5" w:tplc="4E2EAFCE" w:tentative="1">
      <w:start w:val="1"/>
      <w:numFmt w:val="bullet"/>
      <w:lvlText w:val="•"/>
      <w:lvlJc w:val="left"/>
      <w:pPr>
        <w:tabs>
          <w:tab w:val="num" w:pos="4320"/>
        </w:tabs>
        <w:ind w:left="4320" w:hanging="360"/>
      </w:pPr>
      <w:rPr>
        <w:rFonts w:ascii="Times New Roman" w:hAnsi="Times New Roman" w:hint="default"/>
      </w:rPr>
    </w:lvl>
    <w:lvl w:ilvl="6" w:tplc="F620B83A" w:tentative="1">
      <w:start w:val="1"/>
      <w:numFmt w:val="bullet"/>
      <w:lvlText w:val="•"/>
      <w:lvlJc w:val="left"/>
      <w:pPr>
        <w:tabs>
          <w:tab w:val="num" w:pos="5040"/>
        </w:tabs>
        <w:ind w:left="5040" w:hanging="360"/>
      </w:pPr>
      <w:rPr>
        <w:rFonts w:ascii="Times New Roman" w:hAnsi="Times New Roman" w:hint="default"/>
      </w:rPr>
    </w:lvl>
    <w:lvl w:ilvl="7" w:tplc="3128392E" w:tentative="1">
      <w:start w:val="1"/>
      <w:numFmt w:val="bullet"/>
      <w:lvlText w:val="•"/>
      <w:lvlJc w:val="left"/>
      <w:pPr>
        <w:tabs>
          <w:tab w:val="num" w:pos="5760"/>
        </w:tabs>
        <w:ind w:left="5760" w:hanging="360"/>
      </w:pPr>
      <w:rPr>
        <w:rFonts w:ascii="Times New Roman" w:hAnsi="Times New Roman" w:hint="default"/>
      </w:rPr>
    </w:lvl>
    <w:lvl w:ilvl="8" w:tplc="EA0423C4" w:tentative="1">
      <w:start w:val="1"/>
      <w:numFmt w:val="bullet"/>
      <w:lvlText w:val="•"/>
      <w:lvlJc w:val="left"/>
      <w:pPr>
        <w:tabs>
          <w:tab w:val="num" w:pos="6480"/>
        </w:tabs>
        <w:ind w:left="6480" w:hanging="360"/>
      </w:pPr>
      <w:rPr>
        <w:rFonts w:ascii="Times New Roman" w:hAnsi="Times New Roman" w:hint="default"/>
      </w:rPr>
    </w:lvl>
  </w:abstractNum>
  <w:abstractNum w:abstractNumId="22">
    <w:nsid w:val="52490164"/>
    <w:multiLevelType w:val="hybridMultilevel"/>
    <w:tmpl w:val="3928228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5B232180"/>
    <w:multiLevelType w:val="hybridMultilevel"/>
    <w:tmpl w:val="EC786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1D90B9C"/>
    <w:multiLevelType w:val="hybridMultilevel"/>
    <w:tmpl w:val="441C7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2C558B8"/>
    <w:multiLevelType w:val="hybridMultilevel"/>
    <w:tmpl w:val="9C527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67A25A3"/>
    <w:multiLevelType w:val="hybridMultilevel"/>
    <w:tmpl w:val="68AC1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A7C6175"/>
    <w:multiLevelType w:val="hybridMultilevel"/>
    <w:tmpl w:val="378C3DB4"/>
    <w:lvl w:ilvl="0" w:tplc="A52E6436">
      <w:start w:val="1"/>
      <w:numFmt w:val="bullet"/>
      <w:lvlText w:val="•"/>
      <w:lvlJc w:val="left"/>
      <w:pPr>
        <w:tabs>
          <w:tab w:val="num" w:pos="720"/>
        </w:tabs>
        <w:ind w:left="720" w:hanging="360"/>
      </w:pPr>
      <w:rPr>
        <w:rFonts w:ascii="Arial" w:hAnsi="Arial" w:hint="default"/>
      </w:rPr>
    </w:lvl>
    <w:lvl w:ilvl="1" w:tplc="E52A0F14" w:tentative="1">
      <w:start w:val="1"/>
      <w:numFmt w:val="bullet"/>
      <w:lvlText w:val="•"/>
      <w:lvlJc w:val="left"/>
      <w:pPr>
        <w:tabs>
          <w:tab w:val="num" w:pos="1440"/>
        </w:tabs>
        <w:ind w:left="1440" w:hanging="360"/>
      </w:pPr>
      <w:rPr>
        <w:rFonts w:ascii="Arial" w:hAnsi="Arial" w:hint="default"/>
      </w:rPr>
    </w:lvl>
    <w:lvl w:ilvl="2" w:tplc="C5DC259C" w:tentative="1">
      <w:start w:val="1"/>
      <w:numFmt w:val="bullet"/>
      <w:lvlText w:val="•"/>
      <w:lvlJc w:val="left"/>
      <w:pPr>
        <w:tabs>
          <w:tab w:val="num" w:pos="2160"/>
        </w:tabs>
        <w:ind w:left="2160" w:hanging="360"/>
      </w:pPr>
      <w:rPr>
        <w:rFonts w:ascii="Arial" w:hAnsi="Arial" w:hint="default"/>
      </w:rPr>
    </w:lvl>
    <w:lvl w:ilvl="3" w:tplc="3B62A3E6" w:tentative="1">
      <w:start w:val="1"/>
      <w:numFmt w:val="bullet"/>
      <w:lvlText w:val="•"/>
      <w:lvlJc w:val="left"/>
      <w:pPr>
        <w:tabs>
          <w:tab w:val="num" w:pos="2880"/>
        </w:tabs>
        <w:ind w:left="2880" w:hanging="360"/>
      </w:pPr>
      <w:rPr>
        <w:rFonts w:ascii="Arial" w:hAnsi="Arial" w:hint="default"/>
      </w:rPr>
    </w:lvl>
    <w:lvl w:ilvl="4" w:tplc="1700B2EA" w:tentative="1">
      <w:start w:val="1"/>
      <w:numFmt w:val="bullet"/>
      <w:lvlText w:val="•"/>
      <w:lvlJc w:val="left"/>
      <w:pPr>
        <w:tabs>
          <w:tab w:val="num" w:pos="3600"/>
        </w:tabs>
        <w:ind w:left="3600" w:hanging="360"/>
      </w:pPr>
      <w:rPr>
        <w:rFonts w:ascii="Arial" w:hAnsi="Arial" w:hint="default"/>
      </w:rPr>
    </w:lvl>
    <w:lvl w:ilvl="5" w:tplc="40C4159C" w:tentative="1">
      <w:start w:val="1"/>
      <w:numFmt w:val="bullet"/>
      <w:lvlText w:val="•"/>
      <w:lvlJc w:val="left"/>
      <w:pPr>
        <w:tabs>
          <w:tab w:val="num" w:pos="4320"/>
        </w:tabs>
        <w:ind w:left="4320" w:hanging="360"/>
      </w:pPr>
      <w:rPr>
        <w:rFonts w:ascii="Arial" w:hAnsi="Arial" w:hint="default"/>
      </w:rPr>
    </w:lvl>
    <w:lvl w:ilvl="6" w:tplc="44AA8C8C" w:tentative="1">
      <w:start w:val="1"/>
      <w:numFmt w:val="bullet"/>
      <w:lvlText w:val="•"/>
      <w:lvlJc w:val="left"/>
      <w:pPr>
        <w:tabs>
          <w:tab w:val="num" w:pos="5040"/>
        </w:tabs>
        <w:ind w:left="5040" w:hanging="360"/>
      </w:pPr>
      <w:rPr>
        <w:rFonts w:ascii="Arial" w:hAnsi="Arial" w:hint="default"/>
      </w:rPr>
    </w:lvl>
    <w:lvl w:ilvl="7" w:tplc="4ABC86B8" w:tentative="1">
      <w:start w:val="1"/>
      <w:numFmt w:val="bullet"/>
      <w:lvlText w:val="•"/>
      <w:lvlJc w:val="left"/>
      <w:pPr>
        <w:tabs>
          <w:tab w:val="num" w:pos="5760"/>
        </w:tabs>
        <w:ind w:left="5760" w:hanging="360"/>
      </w:pPr>
      <w:rPr>
        <w:rFonts w:ascii="Arial" w:hAnsi="Arial" w:hint="default"/>
      </w:rPr>
    </w:lvl>
    <w:lvl w:ilvl="8" w:tplc="E45417C0" w:tentative="1">
      <w:start w:val="1"/>
      <w:numFmt w:val="bullet"/>
      <w:lvlText w:val="•"/>
      <w:lvlJc w:val="left"/>
      <w:pPr>
        <w:tabs>
          <w:tab w:val="num" w:pos="6480"/>
        </w:tabs>
        <w:ind w:left="6480" w:hanging="360"/>
      </w:pPr>
      <w:rPr>
        <w:rFonts w:ascii="Arial" w:hAnsi="Arial" w:hint="default"/>
      </w:rPr>
    </w:lvl>
  </w:abstractNum>
  <w:abstractNum w:abstractNumId="28">
    <w:nsid w:val="6BA9107E"/>
    <w:multiLevelType w:val="hybridMultilevel"/>
    <w:tmpl w:val="CD12D608"/>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29">
    <w:nsid w:val="6F0909B3"/>
    <w:multiLevelType w:val="hybridMultilevel"/>
    <w:tmpl w:val="7742B618"/>
    <w:lvl w:ilvl="0" w:tplc="4AECAC62">
      <w:start w:val="1"/>
      <w:numFmt w:val="bullet"/>
      <w:lvlText w:val="•"/>
      <w:lvlJc w:val="left"/>
      <w:pPr>
        <w:tabs>
          <w:tab w:val="num" w:pos="720"/>
        </w:tabs>
        <w:ind w:left="720" w:hanging="360"/>
      </w:pPr>
      <w:rPr>
        <w:rFonts w:ascii="Times New Roman" w:hAnsi="Times New Roman" w:hint="default"/>
      </w:rPr>
    </w:lvl>
    <w:lvl w:ilvl="1" w:tplc="D6785FD6" w:tentative="1">
      <w:start w:val="1"/>
      <w:numFmt w:val="bullet"/>
      <w:lvlText w:val="•"/>
      <w:lvlJc w:val="left"/>
      <w:pPr>
        <w:tabs>
          <w:tab w:val="num" w:pos="1440"/>
        </w:tabs>
        <w:ind w:left="1440" w:hanging="360"/>
      </w:pPr>
      <w:rPr>
        <w:rFonts w:ascii="Times New Roman" w:hAnsi="Times New Roman" w:hint="default"/>
      </w:rPr>
    </w:lvl>
    <w:lvl w:ilvl="2" w:tplc="0D246BF0" w:tentative="1">
      <w:start w:val="1"/>
      <w:numFmt w:val="bullet"/>
      <w:lvlText w:val="•"/>
      <w:lvlJc w:val="left"/>
      <w:pPr>
        <w:tabs>
          <w:tab w:val="num" w:pos="2160"/>
        </w:tabs>
        <w:ind w:left="2160" w:hanging="360"/>
      </w:pPr>
      <w:rPr>
        <w:rFonts w:ascii="Times New Roman" w:hAnsi="Times New Roman" w:hint="default"/>
      </w:rPr>
    </w:lvl>
    <w:lvl w:ilvl="3" w:tplc="351CE800" w:tentative="1">
      <w:start w:val="1"/>
      <w:numFmt w:val="bullet"/>
      <w:lvlText w:val="•"/>
      <w:lvlJc w:val="left"/>
      <w:pPr>
        <w:tabs>
          <w:tab w:val="num" w:pos="2880"/>
        </w:tabs>
        <w:ind w:left="2880" w:hanging="360"/>
      </w:pPr>
      <w:rPr>
        <w:rFonts w:ascii="Times New Roman" w:hAnsi="Times New Roman" w:hint="default"/>
      </w:rPr>
    </w:lvl>
    <w:lvl w:ilvl="4" w:tplc="0E08CA76" w:tentative="1">
      <w:start w:val="1"/>
      <w:numFmt w:val="bullet"/>
      <w:lvlText w:val="•"/>
      <w:lvlJc w:val="left"/>
      <w:pPr>
        <w:tabs>
          <w:tab w:val="num" w:pos="3600"/>
        </w:tabs>
        <w:ind w:left="3600" w:hanging="360"/>
      </w:pPr>
      <w:rPr>
        <w:rFonts w:ascii="Times New Roman" w:hAnsi="Times New Roman" w:hint="default"/>
      </w:rPr>
    </w:lvl>
    <w:lvl w:ilvl="5" w:tplc="C5DAD988" w:tentative="1">
      <w:start w:val="1"/>
      <w:numFmt w:val="bullet"/>
      <w:lvlText w:val="•"/>
      <w:lvlJc w:val="left"/>
      <w:pPr>
        <w:tabs>
          <w:tab w:val="num" w:pos="4320"/>
        </w:tabs>
        <w:ind w:left="4320" w:hanging="360"/>
      </w:pPr>
      <w:rPr>
        <w:rFonts w:ascii="Times New Roman" w:hAnsi="Times New Roman" w:hint="default"/>
      </w:rPr>
    </w:lvl>
    <w:lvl w:ilvl="6" w:tplc="CE5C2AA4" w:tentative="1">
      <w:start w:val="1"/>
      <w:numFmt w:val="bullet"/>
      <w:lvlText w:val="•"/>
      <w:lvlJc w:val="left"/>
      <w:pPr>
        <w:tabs>
          <w:tab w:val="num" w:pos="5040"/>
        </w:tabs>
        <w:ind w:left="5040" w:hanging="360"/>
      </w:pPr>
      <w:rPr>
        <w:rFonts w:ascii="Times New Roman" w:hAnsi="Times New Roman" w:hint="default"/>
      </w:rPr>
    </w:lvl>
    <w:lvl w:ilvl="7" w:tplc="1D7680AC" w:tentative="1">
      <w:start w:val="1"/>
      <w:numFmt w:val="bullet"/>
      <w:lvlText w:val="•"/>
      <w:lvlJc w:val="left"/>
      <w:pPr>
        <w:tabs>
          <w:tab w:val="num" w:pos="5760"/>
        </w:tabs>
        <w:ind w:left="5760" w:hanging="360"/>
      </w:pPr>
      <w:rPr>
        <w:rFonts w:ascii="Times New Roman" w:hAnsi="Times New Roman" w:hint="default"/>
      </w:rPr>
    </w:lvl>
    <w:lvl w:ilvl="8" w:tplc="D8C6A738" w:tentative="1">
      <w:start w:val="1"/>
      <w:numFmt w:val="bullet"/>
      <w:lvlText w:val="•"/>
      <w:lvlJc w:val="left"/>
      <w:pPr>
        <w:tabs>
          <w:tab w:val="num" w:pos="6480"/>
        </w:tabs>
        <w:ind w:left="6480" w:hanging="360"/>
      </w:pPr>
      <w:rPr>
        <w:rFonts w:ascii="Times New Roman" w:hAnsi="Times New Roman" w:hint="default"/>
      </w:rPr>
    </w:lvl>
  </w:abstractNum>
  <w:abstractNum w:abstractNumId="30">
    <w:nsid w:val="720450EF"/>
    <w:multiLevelType w:val="hybridMultilevel"/>
    <w:tmpl w:val="872E6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32C227A"/>
    <w:multiLevelType w:val="hybridMultilevel"/>
    <w:tmpl w:val="27C874CC"/>
    <w:lvl w:ilvl="0" w:tplc="4694166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3DB76AE"/>
    <w:multiLevelType w:val="hybridMultilevel"/>
    <w:tmpl w:val="8EE6B59A"/>
    <w:lvl w:ilvl="0" w:tplc="4606E212">
      <w:start w:val="1"/>
      <w:numFmt w:val="bullet"/>
      <w:lvlText w:val="•"/>
      <w:lvlJc w:val="left"/>
      <w:pPr>
        <w:tabs>
          <w:tab w:val="num" w:pos="720"/>
        </w:tabs>
        <w:ind w:left="720" w:hanging="360"/>
      </w:pPr>
      <w:rPr>
        <w:rFonts w:ascii="Arial" w:hAnsi="Arial" w:hint="default"/>
      </w:rPr>
    </w:lvl>
    <w:lvl w:ilvl="1" w:tplc="6090E33A" w:tentative="1">
      <w:start w:val="1"/>
      <w:numFmt w:val="bullet"/>
      <w:lvlText w:val="•"/>
      <w:lvlJc w:val="left"/>
      <w:pPr>
        <w:tabs>
          <w:tab w:val="num" w:pos="1440"/>
        </w:tabs>
        <w:ind w:left="1440" w:hanging="360"/>
      </w:pPr>
      <w:rPr>
        <w:rFonts w:ascii="Arial" w:hAnsi="Arial" w:hint="default"/>
      </w:rPr>
    </w:lvl>
    <w:lvl w:ilvl="2" w:tplc="C172B0C0" w:tentative="1">
      <w:start w:val="1"/>
      <w:numFmt w:val="bullet"/>
      <w:lvlText w:val="•"/>
      <w:lvlJc w:val="left"/>
      <w:pPr>
        <w:tabs>
          <w:tab w:val="num" w:pos="2160"/>
        </w:tabs>
        <w:ind w:left="2160" w:hanging="360"/>
      </w:pPr>
      <w:rPr>
        <w:rFonts w:ascii="Arial" w:hAnsi="Arial" w:hint="default"/>
      </w:rPr>
    </w:lvl>
    <w:lvl w:ilvl="3" w:tplc="568E14AA" w:tentative="1">
      <w:start w:val="1"/>
      <w:numFmt w:val="bullet"/>
      <w:lvlText w:val="•"/>
      <w:lvlJc w:val="left"/>
      <w:pPr>
        <w:tabs>
          <w:tab w:val="num" w:pos="2880"/>
        </w:tabs>
        <w:ind w:left="2880" w:hanging="360"/>
      </w:pPr>
      <w:rPr>
        <w:rFonts w:ascii="Arial" w:hAnsi="Arial" w:hint="default"/>
      </w:rPr>
    </w:lvl>
    <w:lvl w:ilvl="4" w:tplc="FAEE199A" w:tentative="1">
      <w:start w:val="1"/>
      <w:numFmt w:val="bullet"/>
      <w:lvlText w:val="•"/>
      <w:lvlJc w:val="left"/>
      <w:pPr>
        <w:tabs>
          <w:tab w:val="num" w:pos="3600"/>
        </w:tabs>
        <w:ind w:left="3600" w:hanging="360"/>
      </w:pPr>
      <w:rPr>
        <w:rFonts w:ascii="Arial" w:hAnsi="Arial" w:hint="default"/>
      </w:rPr>
    </w:lvl>
    <w:lvl w:ilvl="5" w:tplc="6A1AFA88" w:tentative="1">
      <w:start w:val="1"/>
      <w:numFmt w:val="bullet"/>
      <w:lvlText w:val="•"/>
      <w:lvlJc w:val="left"/>
      <w:pPr>
        <w:tabs>
          <w:tab w:val="num" w:pos="4320"/>
        </w:tabs>
        <w:ind w:left="4320" w:hanging="360"/>
      </w:pPr>
      <w:rPr>
        <w:rFonts w:ascii="Arial" w:hAnsi="Arial" w:hint="default"/>
      </w:rPr>
    </w:lvl>
    <w:lvl w:ilvl="6" w:tplc="EED01FFE" w:tentative="1">
      <w:start w:val="1"/>
      <w:numFmt w:val="bullet"/>
      <w:lvlText w:val="•"/>
      <w:lvlJc w:val="left"/>
      <w:pPr>
        <w:tabs>
          <w:tab w:val="num" w:pos="5040"/>
        </w:tabs>
        <w:ind w:left="5040" w:hanging="360"/>
      </w:pPr>
      <w:rPr>
        <w:rFonts w:ascii="Arial" w:hAnsi="Arial" w:hint="default"/>
      </w:rPr>
    </w:lvl>
    <w:lvl w:ilvl="7" w:tplc="B5B691B0" w:tentative="1">
      <w:start w:val="1"/>
      <w:numFmt w:val="bullet"/>
      <w:lvlText w:val="•"/>
      <w:lvlJc w:val="left"/>
      <w:pPr>
        <w:tabs>
          <w:tab w:val="num" w:pos="5760"/>
        </w:tabs>
        <w:ind w:left="5760" w:hanging="360"/>
      </w:pPr>
      <w:rPr>
        <w:rFonts w:ascii="Arial" w:hAnsi="Arial" w:hint="default"/>
      </w:rPr>
    </w:lvl>
    <w:lvl w:ilvl="8" w:tplc="8B166CEE" w:tentative="1">
      <w:start w:val="1"/>
      <w:numFmt w:val="bullet"/>
      <w:lvlText w:val="•"/>
      <w:lvlJc w:val="left"/>
      <w:pPr>
        <w:tabs>
          <w:tab w:val="num" w:pos="6480"/>
        </w:tabs>
        <w:ind w:left="6480" w:hanging="360"/>
      </w:pPr>
      <w:rPr>
        <w:rFonts w:ascii="Arial" w:hAnsi="Arial" w:hint="default"/>
      </w:rPr>
    </w:lvl>
  </w:abstractNum>
  <w:abstractNum w:abstractNumId="33">
    <w:nsid w:val="74483749"/>
    <w:multiLevelType w:val="hybridMultilevel"/>
    <w:tmpl w:val="38B4A77C"/>
    <w:lvl w:ilvl="0" w:tplc="E8B29AC8">
      <w:start w:val="1"/>
      <w:numFmt w:val="bullet"/>
      <w:lvlText w:val="-"/>
      <w:lvlJc w:val="left"/>
      <w:pPr>
        <w:tabs>
          <w:tab w:val="num" w:pos="720"/>
        </w:tabs>
        <w:ind w:left="720" w:hanging="360"/>
      </w:pPr>
      <w:rPr>
        <w:rFonts w:ascii="Times New Roman" w:hAnsi="Times New Roman" w:hint="default"/>
      </w:rPr>
    </w:lvl>
    <w:lvl w:ilvl="1" w:tplc="71483BB6" w:tentative="1">
      <w:start w:val="1"/>
      <w:numFmt w:val="bullet"/>
      <w:lvlText w:val="-"/>
      <w:lvlJc w:val="left"/>
      <w:pPr>
        <w:tabs>
          <w:tab w:val="num" w:pos="1440"/>
        </w:tabs>
        <w:ind w:left="1440" w:hanging="360"/>
      </w:pPr>
      <w:rPr>
        <w:rFonts w:ascii="Times New Roman" w:hAnsi="Times New Roman" w:hint="default"/>
      </w:rPr>
    </w:lvl>
    <w:lvl w:ilvl="2" w:tplc="36B66894" w:tentative="1">
      <w:start w:val="1"/>
      <w:numFmt w:val="bullet"/>
      <w:lvlText w:val="-"/>
      <w:lvlJc w:val="left"/>
      <w:pPr>
        <w:tabs>
          <w:tab w:val="num" w:pos="2160"/>
        </w:tabs>
        <w:ind w:left="2160" w:hanging="360"/>
      </w:pPr>
      <w:rPr>
        <w:rFonts w:ascii="Times New Roman" w:hAnsi="Times New Roman" w:hint="default"/>
      </w:rPr>
    </w:lvl>
    <w:lvl w:ilvl="3" w:tplc="56A097E0" w:tentative="1">
      <w:start w:val="1"/>
      <w:numFmt w:val="bullet"/>
      <w:lvlText w:val="-"/>
      <w:lvlJc w:val="left"/>
      <w:pPr>
        <w:tabs>
          <w:tab w:val="num" w:pos="2880"/>
        </w:tabs>
        <w:ind w:left="2880" w:hanging="360"/>
      </w:pPr>
      <w:rPr>
        <w:rFonts w:ascii="Times New Roman" w:hAnsi="Times New Roman" w:hint="default"/>
      </w:rPr>
    </w:lvl>
    <w:lvl w:ilvl="4" w:tplc="F34A24E4" w:tentative="1">
      <w:start w:val="1"/>
      <w:numFmt w:val="bullet"/>
      <w:lvlText w:val="-"/>
      <w:lvlJc w:val="left"/>
      <w:pPr>
        <w:tabs>
          <w:tab w:val="num" w:pos="3600"/>
        </w:tabs>
        <w:ind w:left="3600" w:hanging="360"/>
      </w:pPr>
      <w:rPr>
        <w:rFonts w:ascii="Times New Roman" w:hAnsi="Times New Roman" w:hint="default"/>
      </w:rPr>
    </w:lvl>
    <w:lvl w:ilvl="5" w:tplc="8104E29E" w:tentative="1">
      <w:start w:val="1"/>
      <w:numFmt w:val="bullet"/>
      <w:lvlText w:val="-"/>
      <w:lvlJc w:val="left"/>
      <w:pPr>
        <w:tabs>
          <w:tab w:val="num" w:pos="4320"/>
        </w:tabs>
        <w:ind w:left="4320" w:hanging="360"/>
      </w:pPr>
      <w:rPr>
        <w:rFonts w:ascii="Times New Roman" w:hAnsi="Times New Roman" w:hint="default"/>
      </w:rPr>
    </w:lvl>
    <w:lvl w:ilvl="6" w:tplc="7304DFF0" w:tentative="1">
      <w:start w:val="1"/>
      <w:numFmt w:val="bullet"/>
      <w:lvlText w:val="-"/>
      <w:lvlJc w:val="left"/>
      <w:pPr>
        <w:tabs>
          <w:tab w:val="num" w:pos="5040"/>
        </w:tabs>
        <w:ind w:left="5040" w:hanging="360"/>
      </w:pPr>
      <w:rPr>
        <w:rFonts w:ascii="Times New Roman" w:hAnsi="Times New Roman" w:hint="default"/>
      </w:rPr>
    </w:lvl>
    <w:lvl w:ilvl="7" w:tplc="A67C73AA" w:tentative="1">
      <w:start w:val="1"/>
      <w:numFmt w:val="bullet"/>
      <w:lvlText w:val="-"/>
      <w:lvlJc w:val="left"/>
      <w:pPr>
        <w:tabs>
          <w:tab w:val="num" w:pos="5760"/>
        </w:tabs>
        <w:ind w:left="5760" w:hanging="360"/>
      </w:pPr>
      <w:rPr>
        <w:rFonts w:ascii="Times New Roman" w:hAnsi="Times New Roman" w:hint="default"/>
      </w:rPr>
    </w:lvl>
    <w:lvl w:ilvl="8" w:tplc="CCA8F61C" w:tentative="1">
      <w:start w:val="1"/>
      <w:numFmt w:val="bullet"/>
      <w:lvlText w:val="-"/>
      <w:lvlJc w:val="left"/>
      <w:pPr>
        <w:tabs>
          <w:tab w:val="num" w:pos="6480"/>
        </w:tabs>
        <w:ind w:left="6480" w:hanging="360"/>
      </w:pPr>
      <w:rPr>
        <w:rFonts w:ascii="Times New Roman" w:hAnsi="Times New Roman" w:hint="default"/>
      </w:rPr>
    </w:lvl>
  </w:abstractNum>
  <w:abstractNum w:abstractNumId="34">
    <w:nsid w:val="75E81A9C"/>
    <w:multiLevelType w:val="hybridMultilevel"/>
    <w:tmpl w:val="EF3EC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65B5B6A"/>
    <w:multiLevelType w:val="hybridMultilevel"/>
    <w:tmpl w:val="78560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D8E0691"/>
    <w:multiLevelType w:val="hybridMultilevel"/>
    <w:tmpl w:val="302E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7"/>
  </w:num>
  <w:num w:numId="8">
    <w:abstractNumId w:val="35"/>
  </w:num>
  <w:num w:numId="9">
    <w:abstractNumId w:val="31"/>
  </w:num>
  <w:num w:numId="10">
    <w:abstractNumId w:val="16"/>
  </w:num>
  <w:num w:numId="11">
    <w:abstractNumId w:val="25"/>
  </w:num>
  <w:num w:numId="12">
    <w:abstractNumId w:val="13"/>
  </w:num>
  <w:num w:numId="13">
    <w:abstractNumId w:val="34"/>
  </w:num>
  <w:num w:numId="14">
    <w:abstractNumId w:val="12"/>
  </w:num>
  <w:num w:numId="15">
    <w:abstractNumId w:val="14"/>
  </w:num>
  <w:num w:numId="16">
    <w:abstractNumId w:val="19"/>
  </w:num>
  <w:num w:numId="17">
    <w:abstractNumId w:val="8"/>
  </w:num>
  <w:num w:numId="18">
    <w:abstractNumId w:val="30"/>
  </w:num>
  <w:num w:numId="19">
    <w:abstractNumId w:val="32"/>
  </w:num>
  <w:num w:numId="20">
    <w:abstractNumId w:val="11"/>
  </w:num>
  <w:num w:numId="21">
    <w:abstractNumId w:val="27"/>
  </w:num>
  <w:num w:numId="22">
    <w:abstractNumId w:val="23"/>
  </w:num>
  <w:num w:numId="23">
    <w:abstractNumId w:val="10"/>
  </w:num>
  <w:num w:numId="24">
    <w:abstractNumId w:val="24"/>
  </w:num>
  <w:num w:numId="25">
    <w:abstractNumId w:val="36"/>
  </w:num>
  <w:num w:numId="26">
    <w:abstractNumId w:val="20"/>
  </w:num>
  <w:num w:numId="27">
    <w:abstractNumId w:val="18"/>
  </w:num>
  <w:num w:numId="28">
    <w:abstractNumId w:val="6"/>
  </w:num>
  <w:num w:numId="29">
    <w:abstractNumId w:val="28"/>
  </w:num>
  <w:num w:numId="30">
    <w:abstractNumId w:val="15"/>
  </w:num>
  <w:num w:numId="31">
    <w:abstractNumId w:val="9"/>
  </w:num>
  <w:num w:numId="32">
    <w:abstractNumId w:val="22"/>
  </w:num>
  <w:num w:numId="33">
    <w:abstractNumId w:val="21"/>
  </w:num>
  <w:num w:numId="34">
    <w:abstractNumId w:val="29"/>
  </w:num>
  <w:num w:numId="35">
    <w:abstractNumId w:val="33"/>
  </w:num>
  <w:num w:numId="36">
    <w:abstractNumId w:val="26"/>
  </w:num>
  <w:num w:numId="37">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QFSet/>
  <w:defaultTabStop w:val="720"/>
  <w:noPunctuationKerning/>
  <w:characterSpacingControl w:val="doNotCompress"/>
  <w:hdrShapeDefaults>
    <o:shapedefaults v:ext="edit" spidmax="4097">
      <o:colormru v:ext="edit" colors="#7573a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F03"/>
    <w:rsid w:val="000011FF"/>
    <w:rsid w:val="00006F5F"/>
    <w:rsid w:val="00011261"/>
    <w:rsid w:val="00013C62"/>
    <w:rsid w:val="00014F0C"/>
    <w:rsid w:val="00017665"/>
    <w:rsid w:val="0002127F"/>
    <w:rsid w:val="0004778E"/>
    <w:rsid w:val="000500F6"/>
    <w:rsid w:val="00051CBF"/>
    <w:rsid w:val="00073CBA"/>
    <w:rsid w:val="000873F2"/>
    <w:rsid w:val="00094A8E"/>
    <w:rsid w:val="00096910"/>
    <w:rsid w:val="00096FB3"/>
    <w:rsid w:val="000A180A"/>
    <w:rsid w:val="000A278A"/>
    <w:rsid w:val="000B183C"/>
    <w:rsid w:val="000E2928"/>
    <w:rsid w:val="000E6B17"/>
    <w:rsid w:val="000F3873"/>
    <w:rsid w:val="0010350C"/>
    <w:rsid w:val="00134791"/>
    <w:rsid w:val="00147FB4"/>
    <w:rsid w:val="00167746"/>
    <w:rsid w:val="00174207"/>
    <w:rsid w:val="00184308"/>
    <w:rsid w:val="0018580D"/>
    <w:rsid w:val="0018662F"/>
    <w:rsid w:val="001956DE"/>
    <w:rsid w:val="001A1E9E"/>
    <w:rsid w:val="001A3805"/>
    <w:rsid w:val="001A75A5"/>
    <w:rsid w:val="001C5CB9"/>
    <w:rsid w:val="001D1E4F"/>
    <w:rsid w:val="001E3606"/>
    <w:rsid w:val="001F499E"/>
    <w:rsid w:val="00203AA4"/>
    <w:rsid w:val="00204E97"/>
    <w:rsid w:val="00206933"/>
    <w:rsid w:val="00231849"/>
    <w:rsid w:val="00233A5F"/>
    <w:rsid w:val="00234B03"/>
    <w:rsid w:val="00236F03"/>
    <w:rsid w:val="00246CA3"/>
    <w:rsid w:val="00247382"/>
    <w:rsid w:val="002628F3"/>
    <w:rsid w:val="00263810"/>
    <w:rsid w:val="00264807"/>
    <w:rsid w:val="002655CE"/>
    <w:rsid w:val="00274ADF"/>
    <w:rsid w:val="00280CB0"/>
    <w:rsid w:val="00283A65"/>
    <w:rsid w:val="002901BB"/>
    <w:rsid w:val="002969C7"/>
    <w:rsid w:val="002A68B8"/>
    <w:rsid w:val="002B04A0"/>
    <w:rsid w:val="002B2726"/>
    <w:rsid w:val="002B6478"/>
    <w:rsid w:val="002C2E2B"/>
    <w:rsid w:val="002C346D"/>
    <w:rsid w:val="002C36DD"/>
    <w:rsid w:val="002C694C"/>
    <w:rsid w:val="002D6843"/>
    <w:rsid w:val="002D7EDF"/>
    <w:rsid w:val="002E2715"/>
    <w:rsid w:val="002E46AE"/>
    <w:rsid w:val="002F470D"/>
    <w:rsid w:val="002F7427"/>
    <w:rsid w:val="002F7FA4"/>
    <w:rsid w:val="0031588D"/>
    <w:rsid w:val="0032073D"/>
    <w:rsid w:val="003266CB"/>
    <w:rsid w:val="003359D5"/>
    <w:rsid w:val="00365F5B"/>
    <w:rsid w:val="00371A6B"/>
    <w:rsid w:val="003742E6"/>
    <w:rsid w:val="003861C2"/>
    <w:rsid w:val="003B23AC"/>
    <w:rsid w:val="003B265F"/>
    <w:rsid w:val="003B5A80"/>
    <w:rsid w:val="003B6B46"/>
    <w:rsid w:val="003C4474"/>
    <w:rsid w:val="003D6BE5"/>
    <w:rsid w:val="003E464F"/>
    <w:rsid w:val="003E4F0D"/>
    <w:rsid w:val="003F63E8"/>
    <w:rsid w:val="00403808"/>
    <w:rsid w:val="0041250E"/>
    <w:rsid w:val="004165D6"/>
    <w:rsid w:val="00416A7C"/>
    <w:rsid w:val="00431649"/>
    <w:rsid w:val="00440608"/>
    <w:rsid w:val="004423CC"/>
    <w:rsid w:val="00443D56"/>
    <w:rsid w:val="00444693"/>
    <w:rsid w:val="00456B60"/>
    <w:rsid w:val="00487340"/>
    <w:rsid w:val="00490730"/>
    <w:rsid w:val="004930BB"/>
    <w:rsid w:val="0049562C"/>
    <w:rsid w:val="004A4F47"/>
    <w:rsid w:val="004A5C9A"/>
    <w:rsid w:val="004A70A3"/>
    <w:rsid w:val="004B2C0F"/>
    <w:rsid w:val="004C1BFC"/>
    <w:rsid w:val="004C44FB"/>
    <w:rsid w:val="004D1373"/>
    <w:rsid w:val="004F2F58"/>
    <w:rsid w:val="0050054A"/>
    <w:rsid w:val="00507D62"/>
    <w:rsid w:val="00516686"/>
    <w:rsid w:val="00516E2A"/>
    <w:rsid w:val="0052321E"/>
    <w:rsid w:val="005235AB"/>
    <w:rsid w:val="00531D84"/>
    <w:rsid w:val="00560346"/>
    <w:rsid w:val="00563006"/>
    <w:rsid w:val="005673E4"/>
    <w:rsid w:val="005717C4"/>
    <w:rsid w:val="005771D2"/>
    <w:rsid w:val="005879B4"/>
    <w:rsid w:val="00591D4A"/>
    <w:rsid w:val="00595115"/>
    <w:rsid w:val="005A0EBE"/>
    <w:rsid w:val="005A31E7"/>
    <w:rsid w:val="005B5E1F"/>
    <w:rsid w:val="005C134E"/>
    <w:rsid w:val="005D4FF5"/>
    <w:rsid w:val="005E1EFE"/>
    <w:rsid w:val="00602215"/>
    <w:rsid w:val="00616989"/>
    <w:rsid w:val="0061709C"/>
    <w:rsid w:val="006213DD"/>
    <w:rsid w:val="00624E02"/>
    <w:rsid w:val="0063189A"/>
    <w:rsid w:val="00632632"/>
    <w:rsid w:val="0063516A"/>
    <w:rsid w:val="006465FC"/>
    <w:rsid w:val="00650F8A"/>
    <w:rsid w:val="00653AD0"/>
    <w:rsid w:val="00654EEB"/>
    <w:rsid w:val="0068537A"/>
    <w:rsid w:val="006A0852"/>
    <w:rsid w:val="006B5D3D"/>
    <w:rsid w:val="006C217F"/>
    <w:rsid w:val="006C43A5"/>
    <w:rsid w:val="006C7174"/>
    <w:rsid w:val="006D543E"/>
    <w:rsid w:val="00727A81"/>
    <w:rsid w:val="00734CFF"/>
    <w:rsid w:val="00737FB5"/>
    <w:rsid w:val="007464D2"/>
    <w:rsid w:val="00763BB2"/>
    <w:rsid w:val="007742CC"/>
    <w:rsid w:val="00776D21"/>
    <w:rsid w:val="0077738F"/>
    <w:rsid w:val="00781AA5"/>
    <w:rsid w:val="00790C43"/>
    <w:rsid w:val="007967DF"/>
    <w:rsid w:val="007A30C6"/>
    <w:rsid w:val="007A7A17"/>
    <w:rsid w:val="007B0826"/>
    <w:rsid w:val="007B56B4"/>
    <w:rsid w:val="007B5FF8"/>
    <w:rsid w:val="007C0CD0"/>
    <w:rsid w:val="007D1D4B"/>
    <w:rsid w:val="007D207E"/>
    <w:rsid w:val="007D6079"/>
    <w:rsid w:val="007F5433"/>
    <w:rsid w:val="0080231A"/>
    <w:rsid w:val="0080671C"/>
    <w:rsid w:val="0081430B"/>
    <w:rsid w:val="0082784D"/>
    <w:rsid w:val="00834B04"/>
    <w:rsid w:val="0084220E"/>
    <w:rsid w:val="008439E2"/>
    <w:rsid w:val="00850B26"/>
    <w:rsid w:val="00855E5E"/>
    <w:rsid w:val="00860894"/>
    <w:rsid w:val="00874B3D"/>
    <w:rsid w:val="00882F24"/>
    <w:rsid w:val="00883166"/>
    <w:rsid w:val="00892345"/>
    <w:rsid w:val="00893386"/>
    <w:rsid w:val="00897587"/>
    <w:rsid w:val="008A4506"/>
    <w:rsid w:val="008A7DF4"/>
    <w:rsid w:val="008B12A4"/>
    <w:rsid w:val="008C464A"/>
    <w:rsid w:val="008C7EF1"/>
    <w:rsid w:val="008D0AA5"/>
    <w:rsid w:val="008E7C8B"/>
    <w:rsid w:val="008F274D"/>
    <w:rsid w:val="009021F2"/>
    <w:rsid w:val="00904ACE"/>
    <w:rsid w:val="00917985"/>
    <w:rsid w:val="00930675"/>
    <w:rsid w:val="009308BF"/>
    <w:rsid w:val="00931BD2"/>
    <w:rsid w:val="00932C46"/>
    <w:rsid w:val="00933DBF"/>
    <w:rsid w:val="0095202F"/>
    <w:rsid w:val="0095541A"/>
    <w:rsid w:val="0095618A"/>
    <w:rsid w:val="00962CC0"/>
    <w:rsid w:val="00963A8B"/>
    <w:rsid w:val="0096796D"/>
    <w:rsid w:val="00973355"/>
    <w:rsid w:val="00984887"/>
    <w:rsid w:val="009A6D8F"/>
    <w:rsid w:val="009A79CB"/>
    <w:rsid w:val="009B2BCE"/>
    <w:rsid w:val="009B3C61"/>
    <w:rsid w:val="009D22D9"/>
    <w:rsid w:val="009E0DBB"/>
    <w:rsid w:val="009E6B0E"/>
    <w:rsid w:val="009E762E"/>
    <w:rsid w:val="00A0191C"/>
    <w:rsid w:val="00A022C1"/>
    <w:rsid w:val="00A07F19"/>
    <w:rsid w:val="00A14F7A"/>
    <w:rsid w:val="00A277DD"/>
    <w:rsid w:val="00A30128"/>
    <w:rsid w:val="00A33C37"/>
    <w:rsid w:val="00A36686"/>
    <w:rsid w:val="00A37F2C"/>
    <w:rsid w:val="00A422DA"/>
    <w:rsid w:val="00A47FAF"/>
    <w:rsid w:val="00A51287"/>
    <w:rsid w:val="00A5331E"/>
    <w:rsid w:val="00A53860"/>
    <w:rsid w:val="00A560E4"/>
    <w:rsid w:val="00A72E7C"/>
    <w:rsid w:val="00A73250"/>
    <w:rsid w:val="00A83EA8"/>
    <w:rsid w:val="00A8632D"/>
    <w:rsid w:val="00A9702F"/>
    <w:rsid w:val="00A979ED"/>
    <w:rsid w:val="00AA2BAD"/>
    <w:rsid w:val="00AA4CE3"/>
    <w:rsid w:val="00AA5E5B"/>
    <w:rsid w:val="00AB3B3E"/>
    <w:rsid w:val="00AB5240"/>
    <w:rsid w:val="00AB6396"/>
    <w:rsid w:val="00AB69D2"/>
    <w:rsid w:val="00AB6D60"/>
    <w:rsid w:val="00AC4F70"/>
    <w:rsid w:val="00AD1C86"/>
    <w:rsid w:val="00AD4D06"/>
    <w:rsid w:val="00AD789A"/>
    <w:rsid w:val="00AE1754"/>
    <w:rsid w:val="00AE317F"/>
    <w:rsid w:val="00B33EE7"/>
    <w:rsid w:val="00B42FB3"/>
    <w:rsid w:val="00B43322"/>
    <w:rsid w:val="00B4437D"/>
    <w:rsid w:val="00B502E0"/>
    <w:rsid w:val="00B60372"/>
    <w:rsid w:val="00B7343F"/>
    <w:rsid w:val="00B81235"/>
    <w:rsid w:val="00BB1368"/>
    <w:rsid w:val="00BB38FF"/>
    <w:rsid w:val="00BB7B69"/>
    <w:rsid w:val="00BB7C49"/>
    <w:rsid w:val="00BD6DDE"/>
    <w:rsid w:val="00BE181D"/>
    <w:rsid w:val="00BE2223"/>
    <w:rsid w:val="00BE64B6"/>
    <w:rsid w:val="00BF249E"/>
    <w:rsid w:val="00BF3722"/>
    <w:rsid w:val="00BF49D5"/>
    <w:rsid w:val="00C03FC4"/>
    <w:rsid w:val="00C06644"/>
    <w:rsid w:val="00C16BD0"/>
    <w:rsid w:val="00C65598"/>
    <w:rsid w:val="00C81098"/>
    <w:rsid w:val="00C8506D"/>
    <w:rsid w:val="00C9278D"/>
    <w:rsid w:val="00C94076"/>
    <w:rsid w:val="00C96641"/>
    <w:rsid w:val="00CA0377"/>
    <w:rsid w:val="00CB03C8"/>
    <w:rsid w:val="00CB1514"/>
    <w:rsid w:val="00CC3833"/>
    <w:rsid w:val="00CC5A38"/>
    <w:rsid w:val="00CD68D8"/>
    <w:rsid w:val="00CE25C8"/>
    <w:rsid w:val="00CE4B0A"/>
    <w:rsid w:val="00CE74A1"/>
    <w:rsid w:val="00CF0E91"/>
    <w:rsid w:val="00CF19D5"/>
    <w:rsid w:val="00CF542A"/>
    <w:rsid w:val="00CF58AE"/>
    <w:rsid w:val="00CF729D"/>
    <w:rsid w:val="00D05633"/>
    <w:rsid w:val="00D13B0A"/>
    <w:rsid w:val="00D168B2"/>
    <w:rsid w:val="00D20782"/>
    <w:rsid w:val="00D234D7"/>
    <w:rsid w:val="00D31DEC"/>
    <w:rsid w:val="00D32EF2"/>
    <w:rsid w:val="00D33BDC"/>
    <w:rsid w:val="00D3505E"/>
    <w:rsid w:val="00D51D8C"/>
    <w:rsid w:val="00D53887"/>
    <w:rsid w:val="00D70ECD"/>
    <w:rsid w:val="00D71497"/>
    <w:rsid w:val="00D93A2E"/>
    <w:rsid w:val="00D94A77"/>
    <w:rsid w:val="00D95EB9"/>
    <w:rsid w:val="00DA02F2"/>
    <w:rsid w:val="00DB0595"/>
    <w:rsid w:val="00DB0BB1"/>
    <w:rsid w:val="00DB119B"/>
    <w:rsid w:val="00DB606B"/>
    <w:rsid w:val="00DB6116"/>
    <w:rsid w:val="00DC0EC5"/>
    <w:rsid w:val="00DD159A"/>
    <w:rsid w:val="00DE49F4"/>
    <w:rsid w:val="00DF2307"/>
    <w:rsid w:val="00DF6940"/>
    <w:rsid w:val="00DF75CD"/>
    <w:rsid w:val="00E00BCE"/>
    <w:rsid w:val="00E01FBA"/>
    <w:rsid w:val="00E02544"/>
    <w:rsid w:val="00E10E32"/>
    <w:rsid w:val="00E124CA"/>
    <w:rsid w:val="00E173FA"/>
    <w:rsid w:val="00E26171"/>
    <w:rsid w:val="00E26545"/>
    <w:rsid w:val="00E3423E"/>
    <w:rsid w:val="00E345E1"/>
    <w:rsid w:val="00E3529E"/>
    <w:rsid w:val="00E47C26"/>
    <w:rsid w:val="00E50226"/>
    <w:rsid w:val="00E53C07"/>
    <w:rsid w:val="00E5470D"/>
    <w:rsid w:val="00E84E3C"/>
    <w:rsid w:val="00E91503"/>
    <w:rsid w:val="00EB26D4"/>
    <w:rsid w:val="00EB36AF"/>
    <w:rsid w:val="00EB7907"/>
    <w:rsid w:val="00EB79F0"/>
    <w:rsid w:val="00ED3593"/>
    <w:rsid w:val="00ED51B2"/>
    <w:rsid w:val="00EE2389"/>
    <w:rsid w:val="00EE2F0C"/>
    <w:rsid w:val="00EE4540"/>
    <w:rsid w:val="00EF3F35"/>
    <w:rsid w:val="00F03399"/>
    <w:rsid w:val="00F070EE"/>
    <w:rsid w:val="00F21B34"/>
    <w:rsid w:val="00F31DEC"/>
    <w:rsid w:val="00F33768"/>
    <w:rsid w:val="00F35E4C"/>
    <w:rsid w:val="00F55D14"/>
    <w:rsid w:val="00F56EF3"/>
    <w:rsid w:val="00F63D49"/>
    <w:rsid w:val="00F65889"/>
    <w:rsid w:val="00F71018"/>
    <w:rsid w:val="00F730E7"/>
    <w:rsid w:val="00F75DFB"/>
    <w:rsid w:val="00F77665"/>
    <w:rsid w:val="00F84402"/>
    <w:rsid w:val="00F92D56"/>
    <w:rsid w:val="00FA0169"/>
    <w:rsid w:val="00FA0BCE"/>
    <w:rsid w:val="00FA4243"/>
    <w:rsid w:val="00FB41F3"/>
    <w:rsid w:val="00FC062C"/>
    <w:rsid w:val="00FC19DB"/>
    <w:rsid w:val="00FC6BCB"/>
    <w:rsid w:val="00FD25E9"/>
    <w:rsid w:val="00FD3E01"/>
    <w:rsid w:val="00FE6E1A"/>
    <w:rsid w:val="00FF0E01"/>
    <w:rsid w:val="00FF1FF0"/>
    <w:rsid w:val="00FF373E"/>
    <w:rsid w:val="00FF5071"/>
    <w:rsid w:val="00FF7C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7573a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E02"/>
    <w:pPr>
      <w:spacing w:after="120"/>
    </w:pPr>
    <w:rPr>
      <w:rFonts w:ascii="Calibri" w:hAnsi="Calibri"/>
      <w:sz w:val="24"/>
      <w:szCs w:val="24"/>
    </w:rPr>
  </w:style>
  <w:style w:type="paragraph" w:styleId="Heading1">
    <w:name w:val="heading 1"/>
    <w:basedOn w:val="Normal"/>
    <w:next w:val="Normal"/>
    <w:uiPriority w:val="1"/>
    <w:qFormat/>
    <w:rsid w:val="007A30C6"/>
    <w:pPr>
      <w:keepNext/>
      <w:outlineLvl w:val="0"/>
    </w:pPr>
    <w:rPr>
      <w:rFonts w:asciiTheme="majorHAnsi" w:hAnsiTheme="majorHAnsi"/>
      <w:b/>
      <w:kern w:val="28"/>
      <w:sz w:val="32"/>
      <w:szCs w:val="20"/>
      <w:lang w:eastAsia="en-US"/>
    </w:rPr>
  </w:style>
  <w:style w:type="paragraph" w:styleId="Heading2">
    <w:name w:val="heading 2"/>
    <w:basedOn w:val="Heading1"/>
    <w:next w:val="Normal"/>
    <w:link w:val="Heading2Char"/>
    <w:qFormat/>
    <w:rsid w:val="00BE2223"/>
    <w:pPr>
      <w:outlineLvl w:val="1"/>
    </w:pPr>
    <w:rPr>
      <w:rFonts w:cs="Arial"/>
      <w:bCs/>
      <w:iCs/>
      <w:sz w:val="28"/>
      <w:szCs w:val="28"/>
    </w:rPr>
  </w:style>
  <w:style w:type="paragraph" w:styleId="Heading3">
    <w:name w:val="heading 3"/>
    <w:basedOn w:val="Heading1"/>
    <w:next w:val="Normal"/>
    <w:uiPriority w:val="1"/>
    <w:qFormat/>
    <w:rsid w:val="00BE2223"/>
    <w:pPr>
      <w:outlineLvl w:val="2"/>
    </w:pPr>
    <w:rPr>
      <w:rFonts w:cs="Arial"/>
      <w:bCs/>
      <w:sz w:val="24"/>
      <w:szCs w:val="26"/>
    </w:rPr>
  </w:style>
  <w:style w:type="paragraph" w:styleId="Heading4">
    <w:name w:val="heading 4"/>
    <w:basedOn w:val="Heading1"/>
    <w:next w:val="Normal"/>
    <w:uiPriority w:val="1"/>
    <w:qFormat/>
    <w:rsid w:val="00BE2223"/>
    <w:pPr>
      <w:outlineLvl w:val="3"/>
    </w:pPr>
    <w:rPr>
      <w:bCs/>
      <w:i/>
      <w:sz w:val="24"/>
      <w:szCs w:val="28"/>
    </w:rPr>
  </w:style>
  <w:style w:type="paragraph" w:styleId="Heading5">
    <w:name w:val="heading 5"/>
    <w:basedOn w:val="Heading1"/>
    <w:next w:val="Normal"/>
    <w:rsid w:val="00BE2223"/>
    <w:pPr>
      <w:outlineLvl w:val="4"/>
    </w:pPr>
    <w:rPr>
      <w:b w:val="0"/>
      <w:bCs/>
      <w:iCs/>
      <w:sz w:val="24"/>
      <w:szCs w:val="26"/>
    </w:rPr>
  </w:style>
  <w:style w:type="paragraph" w:styleId="Heading6">
    <w:name w:val="heading 6"/>
    <w:basedOn w:val="Heading5"/>
    <w:next w:val="Normal"/>
    <w:rsid w:val="00BE2223"/>
    <w:pPr>
      <w:outlineLvl w:val="5"/>
    </w:pPr>
    <w:rPr>
      <w:bCs w:val="0"/>
      <w:szCs w:val="22"/>
    </w:rPr>
  </w:style>
  <w:style w:type="paragraph" w:styleId="Heading7">
    <w:name w:val="heading 7"/>
    <w:basedOn w:val="Heading5"/>
    <w:next w:val="Normal"/>
    <w:rsid w:val="00BE2223"/>
    <w:pPr>
      <w:outlineLvl w:val="6"/>
    </w:pPr>
  </w:style>
  <w:style w:type="paragraph" w:styleId="Heading8">
    <w:name w:val="heading 8"/>
    <w:basedOn w:val="Heading5"/>
    <w:next w:val="Normal"/>
    <w:rsid w:val="00BE2223"/>
    <w:pPr>
      <w:outlineLvl w:val="7"/>
    </w:pPr>
    <w:rPr>
      <w:iCs w:val="0"/>
    </w:rPr>
  </w:style>
  <w:style w:type="paragraph" w:styleId="Heading9">
    <w:name w:val="heading 9"/>
    <w:basedOn w:val="Heading5"/>
    <w:next w:val="Normal"/>
    <w:rsid w:val="00BE2223"/>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s">
    <w:name w:val="Headings"/>
    <w:basedOn w:val="Normal"/>
    <w:next w:val="Heading1"/>
    <w:rsid w:val="00BE2223"/>
    <w:pPr>
      <w:spacing w:before="280" w:line="280" w:lineRule="exact"/>
    </w:pPr>
    <w:rPr>
      <w:b/>
      <w:szCs w:val="20"/>
      <w:lang w:eastAsia="en-US"/>
    </w:rPr>
  </w:style>
  <w:style w:type="paragraph" w:styleId="Header">
    <w:name w:val="header"/>
    <w:basedOn w:val="Normal"/>
    <w:rsid w:val="00BE2223"/>
    <w:pPr>
      <w:tabs>
        <w:tab w:val="center" w:pos="4536"/>
        <w:tab w:val="right" w:pos="9072"/>
      </w:tabs>
    </w:pPr>
  </w:style>
  <w:style w:type="character" w:styleId="Hyperlink">
    <w:name w:val="Hyperlink"/>
    <w:basedOn w:val="DefaultParagraphFont"/>
    <w:rsid w:val="00BE2223"/>
    <w:rPr>
      <w:color w:val="0000FF"/>
      <w:u w:val="single"/>
    </w:rPr>
  </w:style>
  <w:style w:type="paragraph" w:styleId="FootnoteText">
    <w:name w:val="footnote text"/>
    <w:basedOn w:val="Normal"/>
    <w:semiHidden/>
    <w:rsid w:val="00BE2223"/>
    <w:rPr>
      <w:sz w:val="16"/>
      <w:szCs w:val="20"/>
    </w:rPr>
  </w:style>
  <w:style w:type="paragraph" w:styleId="Footer">
    <w:name w:val="footer"/>
    <w:basedOn w:val="Normal"/>
    <w:rsid w:val="00BE2223"/>
    <w:pPr>
      <w:tabs>
        <w:tab w:val="center" w:pos="4678"/>
        <w:tab w:val="right" w:pos="9356"/>
      </w:tabs>
    </w:pPr>
    <w:rPr>
      <w:sz w:val="18"/>
    </w:rPr>
  </w:style>
  <w:style w:type="paragraph" w:styleId="Title">
    <w:name w:val="Title"/>
    <w:basedOn w:val="Normal"/>
    <w:rsid w:val="00BE2223"/>
    <w:pPr>
      <w:outlineLvl w:val="0"/>
    </w:pPr>
    <w:rPr>
      <w:rFonts w:cs="Arial"/>
      <w:b/>
      <w:bCs/>
      <w:kern w:val="28"/>
      <w:sz w:val="60"/>
      <w:szCs w:val="32"/>
    </w:rPr>
  </w:style>
  <w:style w:type="paragraph" w:customStyle="1" w:styleId="Address">
    <w:name w:val="Address"/>
    <w:basedOn w:val="Normal"/>
    <w:rsid w:val="00BE2223"/>
    <w:pPr>
      <w:spacing w:line="300" w:lineRule="auto"/>
    </w:pPr>
    <w:rPr>
      <w:color w:val="7573A9"/>
      <w:sz w:val="15"/>
    </w:rPr>
  </w:style>
  <w:style w:type="paragraph" w:customStyle="1" w:styleId="Address2">
    <w:name w:val="Address2"/>
    <w:basedOn w:val="Address"/>
    <w:rsid w:val="00BE2223"/>
    <w:rPr>
      <w:sz w:val="14"/>
    </w:rPr>
  </w:style>
  <w:style w:type="paragraph" w:customStyle="1" w:styleId="TableTitle">
    <w:name w:val="Table Title"/>
    <w:basedOn w:val="Normal"/>
    <w:rsid w:val="00BE2223"/>
    <w:pPr>
      <w:spacing w:before="240" w:after="60" w:line="280" w:lineRule="atLeast"/>
    </w:pPr>
    <w:rPr>
      <w:b/>
    </w:rPr>
  </w:style>
  <w:style w:type="paragraph" w:customStyle="1" w:styleId="TableContent">
    <w:name w:val="Table Content"/>
    <w:basedOn w:val="TableTitle"/>
    <w:rsid w:val="00BE2223"/>
    <w:rPr>
      <w:b w:val="0"/>
    </w:rPr>
  </w:style>
  <w:style w:type="paragraph" w:styleId="ListNumber">
    <w:name w:val="List Number"/>
    <w:basedOn w:val="Normal"/>
    <w:uiPriority w:val="2"/>
    <w:qFormat/>
    <w:rsid w:val="00BE2223"/>
    <w:pPr>
      <w:numPr>
        <w:numId w:val="6"/>
      </w:numPr>
    </w:pPr>
  </w:style>
  <w:style w:type="paragraph" w:styleId="ListBullet">
    <w:name w:val="List Bullet"/>
    <w:basedOn w:val="Normal"/>
    <w:uiPriority w:val="3"/>
    <w:qFormat/>
    <w:rsid w:val="00BE2223"/>
    <w:pPr>
      <w:numPr>
        <w:numId w:val="1"/>
      </w:numPr>
      <w:ind w:left="357" w:hanging="357"/>
    </w:pPr>
  </w:style>
  <w:style w:type="paragraph" w:styleId="TOC1">
    <w:name w:val="toc 1"/>
    <w:basedOn w:val="Normal"/>
    <w:next w:val="Normal"/>
    <w:semiHidden/>
    <w:rsid w:val="00BE2223"/>
  </w:style>
  <w:style w:type="paragraph" w:styleId="TOC2">
    <w:name w:val="toc 2"/>
    <w:basedOn w:val="Normal"/>
    <w:next w:val="Normal"/>
    <w:semiHidden/>
    <w:rsid w:val="00BE2223"/>
    <w:pPr>
      <w:ind w:left="240"/>
    </w:pPr>
  </w:style>
  <w:style w:type="paragraph" w:styleId="TOC3">
    <w:name w:val="toc 3"/>
    <w:basedOn w:val="Normal"/>
    <w:next w:val="Normal"/>
    <w:semiHidden/>
    <w:rsid w:val="00BE2223"/>
    <w:pPr>
      <w:ind w:left="480"/>
    </w:pPr>
  </w:style>
  <w:style w:type="paragraph" w:styleId="TOC4">
    <w:name w:val="toc 4"/>
    <w:basedOn w:val="Normal"/>
    <w:next w:val="Normal"/>
    <w:semiHidden/>
    <w:rsid w:val="00BE2223"/>
    <w:pPr>
      <w:ind w:left="720"/>
    </w:pPr>
  </w:style>
  <w:style w:type="paragraph" w:styleId="TOC5">
    <w:name w:val="toc 5"/>
    <w:basedOn w:val="Normal"/>
    <w:next w:val="Normal"/>
    <w:semiHidden/>
    <w:rsid w:val="00BE2223"/>
    <w:pPr>
      <w:ind w:left="960"/>
    </w:pPr>
  </w:style>
  <w:style w:type="paragraph" w:styleId="TOC6">
    <w:name w:val="toc 6"/>
    <w:basedOn w:val="Normal"/>
    <w:next w:val="Normal"/>
    <w:semiHidden/>
    <w:rsid w:val="00BE2223"/>
    <w:pPr>
      <w:ind w:left="1200"/>
    </w:pPr>
  </w:style>
  <w:style w:type="paragraph" w:styleId="TOC7">
    <w:name w:val="toc 7"/>
    <w:basedOn w:val="Normal"/>
    <w:next w:val="Normal"/>
    <w:semiHidden/>
    <w:rsid w:val="00BE2223"/>
    <w:pPr>
      <w:ind w:left="1440"/>
    </w:pPr>
  </w:style>
  <w:style w:type="paragraph" w:styleId="TOC8">
    <w:name w:val="toc 8"/>
    <w:basedOn w:val="Normal"/>
    <w:next w:val="Normal"/>
    <w:semiHidden/>
    <w:rsid w:val="00BE2223"/>
    <w:pPr>
      <w:ind w:left="1680"/>
    </w:pPr>
  </w:style>
  <w:style w:type="paragraph" w:styleId="TOC9">
    <w:name w:val="toc 9"/>
    <w:basedOn w:val="Normal"/>
    <w:next w:val="Normal"/>
    <w:semiHidden/>
    <w:rsid w:val="00BE2223"/>
    <w:pPr>
      <w:ind w:left="1920"/>
    </w:pPr>
  </w:style>
  <w:style w:type="paragraph" w:styleId="Index1">
    <w:name w:val="index 1"/>
    <w:basedOn w:val="Normal"/>
    <w:next w:val="Normal"/>
    <w:semiHidden/>
    <w:rsid w:val="00BE2223"/>
    <w:pPr>
      <w:ind w:left="240" w:hanging="240"/>
    </w:pPr>
  </w:style>
  <w:style w:type="paragraph" w:styleId="ListBullet2">
    <w:name w:val="List Bullet 2"/>
    <w:basedOn w:val="Normal"/>
    <w:rsid w:val="00BE2223"/>
    <w:pPr>
      <w:numPr>
        <w:numId w:val="2"/>
      </w:numPr>
    </w:pPr>
  </w:style>
  <w:style w:type="paragraph" w:styleId="ListBullet3">
    <w:name w:val="List Bullet 3"/>
    <w:basedOn w:val="Normal"/>
    <w:rsid w:val="00BE2223"/>
    <w:pPr>
      <w:numPr>
        <w:numId w:val="3"/>
      </w:numPr>
    </w:pPr>
  </w:style>
  <w:style w:type="paragraph" w:styleId="ListBullet4">
    <w:name w:val="List Bullet 4"/>
    <w:basedOn w:val="Normal"/>
    <w:rsid w:val="00BE2223"/>
    <w:pPr>
      <w:numPr>
        <w:numId w:val="4"/>
      </w:numPr>
    </w:pPr>
  </w:style>
  <w:style w:type="paragraph" w:styleId="ListBullet5">
    <w:name w:val="List Bullet 5"/>
    <w:basedOn w:val="Normal"/>
    <w:rsid w:val="00BE2223"/>
    <w:pPr>
      <w:numPr>
        <w:numId w:val="5"/>
      </w:numPr>
    </w:pPr>
  </w:style>
  <w:style w:type="paragraph" w:styleId="NormalWeb">
    <w:name w:val="Normal (Web)"/>
    <w:basedOn w:val="Normal"/>
    <w:rsid w:val="00BE2223"/>
  </w:style>
  <w:style w:type="paragraph" w:styleId="ListParagraph">
    <w:name w:val="List Paragraph"/>
    <w:basedOn w:val="Normal"/>
    <w:uiPriority w:val="34"/>
    <w:qFormat/>
    <w:rsid w:val="00AE317F"/>
    <w:pPr>
      <w:ind w:left="720"/>
      <w:contextualSpacing/>
    </w:pPr>
  </w:style>
  <w:style w:type="character" w:styleId="FootnoteReference">
    <w:name w:val="footnote reference"/>
    <w:basedOn w:val="DefaultParagraphFont"/>
    <w:rsid w:val="00E53C07"/>
    <w:rPr>
      <w:vertAlign w:val="superscript"/>
    </w:rPr>
  </w:style>
  <w:style w:type="paragraph" w:customStyle="1" w:styleId="Default">
    <w:name w:val="Default"/>
    <w:rsid w:val="00E53C07"/>
    <w:pPr>
      <w:autoSpaceDE w:val="0"/>
      <w:autoSpaceDN w:val="0"/>
      <w:adjustRightInd w:val="0"/>
    </w:pPr>
    <w:rPr>
      <w:rFonts w:ascii="Arial" w:hAnsi="Arial" w:cs="Arial"/>
      <w:color w:val="000000"/>
      <w:sz w:val="24"/>
      <w:szCs w:val="24"/>
    </w:rPr>
  </w:style>
  <w:style w:type="character" w:customStyle="1" w:styleId="Heading2Char">
    <w:name w:val="Heading 2 Char"/>
    <w:link w:val="Heading2"/>
    <w:rsid w:val="00F56EF3"/>
    <w:rPr>
      <w:rFonts w:asciiTheme="majorHAnsi" w:hAnsiTheme="majorHAnsi" w:cs="Arial"/>
      <w:b/>
      <w:bCs/>
      <w:iCs/>
      <w:kern w:val="28"/>
      <w:sz w:val="28"/>
      <w:szCs w:val="28"/>
      <w:lang w:eastAsia="en-US"/>
    </w:rPr>
  </w:style>
  <w:style w:type="paragraph" w:customStyle="1" w:styleId="TitleText">
    <w:name w:val="TitleText"/>
    <w:basedOn w:val="Normal"/>
    <w:link w:val="TitleTextChar"/>
    <w:unhideWhenUsed/>
    <w:qFormat/>
    <w:rsid w:val="00F56EF3"/>
    <w:pPr>
      <w:spacing w:before="3600" w:after="160"/>
    </w:pPr>
    <w:rPr>
      <w:rFonts w:ascii="Arial" w:hAnsi="Arial" w:cs="Arial"/>
      <w:b/>
      <w:color w:val="104F75"/>
      <w:sz w:val="92"/>
      <w:szCs w:val="92"/>
    </w:rPr>
  </w:style>
  <w:style w:type="character" w:customStyle="1" w:styleId="TitleTextChar">
    <w:name w:val="TitleText Char"/>
    <w:link w:val="TitleText"/>
    <w:rsid w:val="00F56EF3"/>
    <w:rPr>
      <w:rFonts w:ascii="Arial" w:hAnsi="Arial" w:cs="Arial"/>
      <w:b/>
      <w:color w:val="104F75"/>
      <w:sz w:val="92"/>
      <w:szCs w:val="92"/>
    </w:rPr>
  </w:style>
  <w:style w:type="paragraph" w:customStyle="1" w:styleId="SubtitleText">
    <w:name w:val="SubtitleText"/>
    <w:basedOn w:val="Normal"/>
    <w:link w:val="SubtitleTextChar"/>
    <w:unhideWhenUsed/>
    <w:qFormat/>
    <w:rsid w:val="00F56EF3"/>
    <w:pPr>
      <w:spacing w:after="1520" w:line="288" w:lineRule="auto"/>
    </w:pPr>
    <w:rPr>
      <w:rFonts w:ascii="Arial" w:hAnsi="Arial" w:cs="Arial"/>
      <w:b/>
      <w:color w:val="104F75"/>
      <w:sz w:val="48"/>
      <w:szCs w:val="48"/>
    </w:rPr>
  </w:style>
  <w:style w:type="character" w:customStyle="1" w:styleId="SubtitleTextChar">
    <w:name w:val="SubtitleText Char"/>
    <w:link w:val="SubtitleText"/>
    <w:rsid w:val="00F56EF3"/>
    <w:rPr>
      <w:rFonts w:ascii="Arial" w:hAnsi="Arial" w:cs="Arial"/>
      <w:b/>
      <w:color w:val="104F75"/>
      <w:sz w:val="48"/>
      <w:szCs w:val="48"/>
    </w:rPr>
  </w:style>
  <w:style w:type="paragraph" w:styleId="Date">
    <w:name w:val="Date"/>
    <w:basedOn w:val="Normal"/>
    <w:next w:val="Normal"/>
    <w:link w:val="DateChar"/>
    <w:unhideWhenUsed/>
    <w:rsid w:val="00F56EF3"/>
    <w:pPr>
      <w:spacing w:after="160" w:line="288" w:lineRule="auto"/>
    </w:pPr>
    <w:rPr>
      <w:rFonts w:ascii="Arial" w:hAnsi="Arial" w:cs="Arial"/>
      <w:b/>
      <w:bCs/>
      <w:color w:val="104F75"/>
      <w:sz w:val="44"/>
      <w:szCs w:val="44"/>
    </w:rPr>
  </w:style>
  <w:style w:type="character" w:customStyle="1" w:styleId="DateChar">
    <w:name w:val="Date Char"/>
    <w:basedOn w:val="DefaultParagraphFont"/>
    <w:link w:val="Date"/>
    <w:rsid w:val="00F56EF3"/>
    <w:rPr>
      <w:rFonts w:ascii="Arial" w:hAnsi="Arial" w:cs="Arial"/>
      <w:b/>
      <w:bCs/>
      <w:color w:val="104F75"/>
      <w:sz w:val="44"/>
      <w:szCs w:val="44"/>
    </w:rPr>
  </w:style>
  <w:style w:type="paragraph" w:styleId="BalloonText">
    <w:name w:val="Balloon Text"/>
    <w:basedOn w:val="Normal"/>
    <w:link w:val="BalloonTextChar"/>
    <w:semiHidden/>
    <w:unhideWhenUsed/>
    <w:rsid w:val="00FF7CC6"/>
    <w:rPr>
      <w:rFonts w:ascii="Tahoma" w:hAnsi="Tahoma" w:cs="Tahoma"/>
      <w:sz w:val="16"/>
      <w:szCs w:val="16"/>
    </w:rPr>
  </w:style>
  <w:style w:type="character" w:customStyle="1" w:styleId="BalloonTextChar">
    <w:name w:val="Balloon Text Char"/>
    <w:basedOn w:val="DefaultParagraphFont"/>
    <w:link w:val="BalloonText"/>
    <w:semiHidden/>
    <w:rsid w:val="00FF7CC6"/>
    <w:rPr>
      <w:rFonts w:ascii="Tahoma" w:hAnsi="Tahoma" w:cs="Tahoma"/>
      <w:sz w:val="16"/>
      <w:szCs w:val="16"/>
    </w:rPr>
  </w:style>
  <w:style w:type="table" w:styleId="TableGrid">
    <w:name w:val="Table Grid"/>
    <w:basedOn w:val="TableNormal"/>
    <w:rsid w:val="00624E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624E02"/>
    <w:rPr>
      <w:sz w:val="16"/>
      <w:szCs w:val="16"/>
    </w:rPr>
  </w:style>
  <w:style w:type="paragraph" w:styleId="CommentText">
    <w:name w:val="annotation text"/>
    <w:basedOn w:val="Normal"/>
    <w:link w:val="CommentTextChar"/>
    <w:rsid w:val="00624E02"/>
    <w:rPr>
      <w:sz w:val="20"/>
      <w:szCs w:val="20"/>
    </w:rPr>
  </w:style>
  <w:style w:type="character" w:customStyle="1" w:styleId="CommentTextChar">
    <w:name w:val="Comment Text Char"/>
    <w:basedOn w:val="DefaultParagraphFont"/>
    <w:link w:val="CommentText"/>
    <w:rsid w:val="00624E02"/>
    <w:rPr>
      <w:rFonts w:asciiTheme="minorHAnsi" w:hAnsiTheme="minorHAnsi"/>
    </w:rPr>
  </w:style>
  <w:style w:type="paragraph" w:customStyle="1" w:styleId="BlockQuote">
    <w:name w:val="BlockQuote"/>
    <w:basedOn w:val="Normal"/>
    <w:link w:val="BlockQuoteChar"/>
    <w:qFormat/>
    <w:rsid w:val="00FA0BCE"/>
    <w:pPr>
      <w:shd w:val="clear" w:color="auto" w:fill="D9D9D9" w:themeFill="background1" w:themeFillShade="D9"/>
      <w:overflowPunct w:val="0"/>
      <w:autoSpaceDE w:val="0"/>
      <w:autoSpaceDN w:val="0"/>
      <w:adjustRightInd w:val="0"/>
      <w:spacing w:before="60" w:afterLines="60" w:after="144"/>
      <w:ind w:left="540" w:hanging="180"/>
      <w:textAlignment w:val="baseline"/>
    </w:pPr>
    <w:rPr>
      <w:rFonts w:asciiTheme="minorHAnsi" w:hAnsiTheme="minorHAnsi"/>
      <w:sz w:val="20"/>
      <w:szCs w:val="20"/>
      <w:lang w:eastAsia="en-US"/>
    </w:rPr>
  </w:style>
  <w:style w:type="character" w:customStyle="1" w:styleId="BlockQuoteChar">
    <w:name w:val="BlockQuote Char"/>
    <w:basedOn w:val="DefaultParagraphFont"/>
    <w:link w:val="BlockQuote"/>
    <w:rsid w:val="00FA0BCE"/>
    <w:rPr>
      <w:rFonts w:asciiTheme="minorHAnsi" w:hAnsiTheme="minorHAnsi"/>
      <w:shd w:val="clear" w:color="auto" w:fill="D9D9D9" w:themeFill="background1" w:themeFillShade="D9"/>
      <w:lang w:eastAsia="en-US"/>
    </w:rPr>
  </w:style>
  <w:style w:type="paragraph" w:styleId="CommentSubject">
    <w:name w:val="annotation subject"/>
    <w:basedOn w:val="CommentText"/>
    <w:next w:val="CommentText"/>
    <w:link w:val="CommentSubjectChar"/>
    <w:semiHidden/>
    <w:unhideWhenUsed/>
    <w:rsid w:val="00E84E3C"/>
    <w:rPr>
      <w:b/>
      <w:bCs/>
    </w:rPr>
  </w:style>
  <w:style w:type="character" w:customStyle="1" w:styleId="CommentSubjectChar">
    <w:name w:val="Comment Subject Char"/>
    <w:basedOn w:val="CommentTextChar"/>
    <w:link w:val="CommentSubject"/>
    <w:semiHidden/>
    <w:rsid w:val="00E84E3C"/>
    <w:rPr>
      <w:rFonts w:ascii="Calibri" w:hAnsi="Calibri"/>
      <w:b/>
      <w:bCs/>
    </w:rPr>
  </w:style>
  <w:style w:type="character" w:styleId="FollowedHyperlink">
    <w:name w:val="FollowedHyperlink"/>
    <w:basedOn w:val="DefaultParagraphFont"/>
    <w:semiHidden/>
    <w:unhideWhenUsed/>
    <w:rsid w:val="00E84E3C"/>
    <w:rPr>
      <w:color w:val="800080" w:themeColor="followedHyperlink"/>
      <w:u w:val="single"/>
    </w:rPr>
  </w:style>
  <w:style w:type="character" w:styleId="PlaceholderText">
    <w:name w:val="Placeholder Text"/>
    <w:basedOn w:val="DefaultParagraphFont"/>
    <w:uiPriority w:val="99"/>
    <w:semiHidden/>
    <w:rsid w:val="008D0AA5"/>
    <w:rPr>
      <w:color w:val="808080"/>
    </w:rPr>
  </w:style>
  <w:style w:type="character" w:customStyle="1" w:styleId="apple-converted-space">
    <w:name w:val="apple-converted-space"/>
    <w:basedOn w:val="DefaultParagraphFont"/>
    <w:rsid w:val="00516E2A"/>
  </w:style>
  <w:style w:type="character" w:customStyle="1" w:styleId="Mention1">
    <w:name w:val="Mention1"/>
    <w:basedOn w:val="DefaultParagraphFont"/>
    <w:uiPriority w:val="99"/>
    <w:semiHidden/>
    <w:unhideWhenUsed/>
    <w:rsid w:val="00F75DFB"/>
    <w:rPr>
      <w:color w:val="2B579A"/>
      <w:shd w:val="clear" w:color="auto" w:fill="E6E6E6"/>
    </w:rPr>
  </w:style>
  <w:style w:type="paragraph" w:styleId="Revision">
    <w:name w:val="Revision"/>
    <w:hidden/>
    <w:uiPriority w:val="99"/>
    <w:semiHidden/>
    <w:rsid w:val="00897587"/>
    <w:rPr>
      <w:rFonts w:ascii="Calibri" w:hAnsi="Calibri"/>
      <w:sz w:val="24"/>
      <w:szCs w:val="24"/>
    </w:rPr>
  </w:style>
  <w:style w:type="paragraph" w:styleId="BodyText">
    <w:name w:val="Body Text"/>
    <w:basedOn w:val="Normal"/>
    <w:link w:val="BodyTextChar"/>
    <w:rsid w:val="00ED51B2"/>
    <w:rPr>
      <w:rFonts w:ascii="Arial" w:hAnsi="Arial"/>
      <w:sz w:val="22"/>
      <w:szCs w:val="22"/>
      <w:lang w:eastAsia="en-US"/>
    </w:rPr>
  </w:style>
  <w:style w:type="character" w:customStyle="1" w:styleId="BodyTextChar">
    <w:name w:val="Body Text Char"/>
    <w:basedOn w:val="DefaultParagraphFont"/>
    <w:link w:val="BodyText"/>
    <w:rsid w:val="00ED51B2"/>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01279">
      <w:bodyDiv w:val="1"/>
      <w:marLeft w:val="0"/>
      <w:marRight w:val="0"/>
      <w:marTop w:val="0"/>
      <w:marBottom w:val="0"/>
      <w:divBdr>
        <w:top w:val="none" w:sz="0" w:space="0" w:color="auto"/>
        <w:left w:val="none" w:sz="0" w:space="0" w:color="auto"/>
        <w:bottom w:val="none" w:sz="0" w:space="0" w:color="auto"/>
        <w:right w:val="none" w:sz="0" w:space="0" w:color="auto"/>
      </w:divBdr>
    </w:div>
    <w:div w:id="253561275">
      <w:bodyDiv w:val="1"/>
      <w:marLeft w:val="0"/>
      <w:marRight w:val="0"/>
      <w:marTop w:val="0"/>
      <w:marBottom w:val="0"/>
      <w:divBdr>
        <w:top w:val="none" w:sz="0" w:space="0" w:color="auto"/>
        <w:left w:val="none" w:sz="0" w:space="0" w:color="auto"/>
        <w:bottom w:val="none" w:sz="0" w:space="0" w:color="auto"/>
        <w:right w:val="none" w:sz="0" w:space="0" w:color="auto"/>
      </w:divBdr>
    </w:div>
    <w:div w:id="688340136">
      <w:bodyDiv w:val="1"/>
      <w:marLeft w:val="0"/>
      <w:marRight w:val="0"/>
      <w:marTop w:val="0"/>
      <w:marBottom w:val="0"/>
      <w:divBdr>
        <w:top w:val="none" w:sz="0" w:space="0" w:color="auto"/>
        <w:left w:val="none" w:sz="0" w:space="0" w:color="auto"/>
        <w:bottom w:val="none" w:sz="0" w:space="0" w:color="auto"/>
        <w:right w:val="none" w:sz="0" w:space="0" w:color="auto"/>
      </w:divBdr>
    </w:div>
    <w:div w:id="1241022105">
      <w:bodyDiv w:val="1"/>
      <w:marLeft w:val="0"/>
      <w:marRight w:val="0"/>
      <w:marTop w:val="0"/>
      <w:marBottom w:val="0"/>
      <w:divBdr>
        <w:top w:val="none" w:sz="0" w:space="0" w:color="auto"/>
        <w:left w:val="none" w:sz="0" w:space="0" w:color="auto"/>
        <w:bottom w:val="none" w:sz="0" w:space="0" w:color="auto"/>
        <w:right w:val="none" w:sz="0" w:space="0" w:color="auto"/>
      </w:divBdr>
    </w:div>
    <w:div w:id="1248921790">
      <w:bodyDiv w:val="1"/>
      <w:marLeft w:val="0"/>
      <w:marRight w:val="0"/>
      <w:marTop w:val="0"/>
      <w:marBottom w:val="0"/>
      <w:divBdr>
        <w:top w:val="none" w:sz="0" w:space="0" w:color="auto"/>
        <w:left w:val="none" w:sz="0" w:space="0" w:color="auto"/>
        <w:bottom w:val="none" w:sz="0" w:space="0" w:color="auto"/>
        <w:right w:val="none" w:sz="0" w:space="0" w:color="auto"/>
      </w:divBdr>
    </w:div>
    <w:div w:id="1414082969">
      <w:bodyDiv w:val="1"/>
      <w:marLeft w:val="0"/>
      <w:marRight w:val="0"/>
      <w:marTop w:val="0"/>
      <w:marBottom w:val="0"/>
      <w:divBdr>
        <w:top w:val="none" w:sz="0" w:space="0" w:color="auto"/>
        <w:left w:val="none" w:sz="0" w:space="0" w:color="auto"/>
        <w:bottom w:val="none" w:sz="0" w:space="0" w:color="auto"/>
        <w:right w:val="none" w:sz="0" w:space="0" w:color="auto"/>
      </w:divBdr>
    </w:div>
    <w:div w:id="1740248510">
      <w:bodyDiv w:val="1"/>
      <w:marLeft w:val="0"/>
      <w:marRight w:val="0"/>
      <w:marTop w:val="0"/>
      <w:marBottom w:val="0"/>
      <w:divBdr>
        <w:top w:val="none" w:sz="0" w:space="0" w:color="auto"/>
        <w:left w:val="none" w:sz="0" w:space="0" w:color="auto"/>
        <w:bottom w:val="none" w:sz="0" w:space="0" w:color="auto"/>
        <w:right w:val="none" w:sz="0" w:space="0" w:color="auto"/>
      </w:divBdr>
    </w:div>
    <w:div w:id="1853496536">
      <w:bodyDiv w:val="1"/>
      <w:marLeft w:val="0"/>
      <w:marRight w:val="0"/>
      <w:marTop w:val="0"/>
      <w:marBottom w:val="0"/>
      <w:divBdr>
        <w:top w:val="none" w:sz="0" w:space="0" w:color="auto"/>
        <w:left w:val="none" w:sz="0" w:space="0" w:color="auto"/>
        <w:bottom w:val="none" w:sz="0" w:space="0" w:color="auto"/>
        <w:right w:val="none" w:sz="0" w:space="0" w:color="auto"/>
      </w:divBdr>
    </w:div>
    <w:div w:id="1902477068">
      <w:bodyDiv w:val="1"/>
      <w:marLeft w:val="0"/>
      <w:marRight w:val="0"/>
      <w:marTop w:val="0"/>
      <w:marBottom w:val="0"/>
      <w:divBdr>
        <w:top w:val="none" w:sz="0" w:space="0" w:color="auto"/>
        <w:left w:val="none" w:sz="0" w:space="0" w:color="auto"/>
        <w:bottom w:val="none" w:sz="0" w:space="0" w:color="auto"/>
        <w:right w:val="none" w:sz="0" w:space="0" w:color="auto"/>
      </w:divBdr>
    </w:div>
    <w:div w:id="1978492073">
      <w:bodyDiv w:val="1"/>
      <w:marLeft w:val="0"/>
      <w:marRight w:val="0"/>
      <w:marTop w:val="0"/>
      <w:marBottom w:val="0"/>
      <w:divBdr>
        <w:top w:val="none" w:sz="0" w:space="0" w:color="auto"/>
        <w:left w:val="none" w:sz="0" w:space="0" w:color="auto"/>
        <w:bottom w:val="none" w:sz="0" w:space="0" w:color="auto"/>
        <w:right w:val="none" w:sz="0" w:space="0" w:color="auto"/>
      </w:divBdr>
    </w:div>
    <w:div w:id="201591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8" Type="http://schemas.openxmlformats.org/officeDocument/2006/relationships/hyperlink" Target="http://www.legislation.gov.uk/ukpga/2014/6/section/66/enacted" TargetMode="External"/><Relationship Id="rId3" Type="http://schemas.openxmlformats.org/officeDocument/2006/relationships/hyperlink" Target="http://webarchive.nationalarchives.gov.uk/20150408175925/http:/hearing.screening.nhs.uk/standardsandprotocols" TargetMode="External"/><Relationship Id="rId7" Type="http://schemas.openxmlformats.org/officeDocument/2006/relationships/hyperlink" Target="http://webarchive.nationalarchives.gov.uk/20150408175925/http:/hearing.screening.nhs.uk/standardsandprotocols" TargetMode="External"/><Relationship Id="rId2" Type="http://schemas.openxmlformats.org/officeDocument/2006/relationships/hyperlink" Target="http://www.legislation.gov.uk/ukpga/2014/6/section/22/enacted" TargetMode="External"/><Relationship Id="rId1" Type="http://schemas.openxmlformats.org/officeDocument/2006/relationships/hyperlink" Target="http://www.legislation.gov.uk/ukpga/2014/6/section/22/enacted" TargetMode="External"/><Relationship Id="rId6" Type="http://schemas.openxmlformats.org/officeDocument/2006/relationships/hyperlink" Target="https://www.gov.uk/government/uploads/system/uploads/attachment_data/file/596460/early_education_and_childcare_statutory_guidance_2017.pdf" TargetMode="External"/><Relationship Id="rId11" Type="http://schemas.openxmlformats.org/officeDocument/2006/relationships/hyperlink" Target="http://www.legislation.gov.uk/ukpga/2010/15/schedule/10" TargetMode="External"/><Relationship Id="rId5" Type="http://schemas.openxmlformats.org/officeDocument/2006/relationships/hyperlink" Target="http://webarchive.nationalarchives.gov.uk/20100202103622/http:/www.opsi.gov.uk/acts/acts2006/pdf/ukpga_20060021_en.pdf" TargetMode="External"/><Relationship Id="rId10" Type="http://schemas.openxmlformats.org/officeDocument/2006/relationships/hyperlink" Target="https://www.natsip.org.uk/natsip-documents/natsip-briefing-documents-and-papers/provision-of-equipment-and-technology-briefings/1226-provision-of-equipment-and-technology-for-cyp-with-si" TargetMode="External"/><Relationship Id="rId4" Type="http://schemas.openxmlformats.org/officeDocument/2006/relationships/hyperlink" Target="http://webarchive.nationalarchives.gov.uk/20150408175925/http:/hearing.screening.nhs.uk/standardsandprotocols" TargetMode="External"/><Relationship Id="rId9" Type="http://schemas.openxmlformats.org/officeDocument/2006/relationships/hyperlink" Target="http://www.legislation.gov.uk/uksi/2014/1530/schedule/1/mad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1B44A-192A-4272-9353-D2179226D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2788</Words>
  <Characters>15896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2017-09-04T13:48:00Z</dcterms:created>
  <dcterms:modified xsi:type="dcterms:W3CDTF">2017-09-04T13:48:00Z</dcterms:modified>
</cp:coreProperties>
</file>