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E37" w:rsidRPr="000275F3" w:rsidRDefault="00F00E37" w:rsidP="00F00E37">
      <w:pPr>
        <w:spacing w:after="0"/>
        <w:rPr>
          <w:b/>
          <w:noProof/>
        </w:rPr>
      </w:pPr>
      <w:r w:rsidRPr="000275F3">
        <w:rPr>
          <w:b/>
          <w:noProof/>
        </w:rPr>
        <w:drawing>
          <wp:anchor distT="0" distB="0" distL="114300" distR="114300" simplePos="0" relativeHeight="251659264" behindDoc="1" locked="0" layoutInCell="1" allowOverlap="1" wp14:anchorId="465BB3C0" wp14:editId="470BA16B">
            <wp:simplePos x="0" y="0"/>
            <wp:positionH relativeFrom="page">
              <wp:posOffset>5853430</wp:posOffset>
            </wp:positionH>
            <wp:positionV relativeFrom="page">
              <wp:posOffset>347980</wp:posOffset>
            </wp:positionV>
            <wp:extent cx="1369060" cy="1200150"/>
            <wp:effectExtent l="19050" t="0" r="2540" b="0"/>
            <wp:wrapTight wrapText="bothSides">
              <wp:wrapPolygon edited="0">
                <wp:start x="-301" y="0"/>
                <wp:lineTo x="-301" y="21257"/>
                <wp:lineTo x="21640" y="21257"/>
                <wp:lineTo x="21640" y="0"/>
                <wp:lineTo x="-301" y="0"/>
              </wp:wrapPolygon>
            </wp:wrapTight>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l="77864" t="2060" b="83319"/>
                    <a:stretch>
                      <a:fillRect/>
                    </a:stretch>
                  </pic:blipFill>
                  <pic:spPr bwMode="auto">
                    <a:xfrm>
                      <a:off x="0" y="0"/>
                      <a:ext cx="1369060" cy="1200150"/>
                    </a:xfrm>
                    <a:prstGeom prst="rect">
                      <a:avLst/>
                    </a:prstGeom>
                    <a:noFill/>
                    <a:ln w="9525">
                      <a:noFill/>
                      <a:miter lim="800000"/>
                      <a:headEnd/>
                      <a:tailEnd/>
                    </a:ln>
                  </pic:spPr>
                </pic:pic>
              </a:graphicData>
            </a:graphic>
          </wp:anchor>
        </w:drawing>
      </w:r>
      <w:r w:rsidRPr="000275F3">
        <w:rPr>
          <w:b/>
          <w:noProof/>
        </w:rPr>
        <w:t>Scottish Government attainment and</w:t>
      </w:r>
      <w:r>
        <w:rPr>
          <w:b/>
          <w:noProof/>
        </w:rPr>
        <w:t xml:space="preserve"> leavers’ destinations data </w:t>
      </w:r>
    </w:p>
    <w:p w:rsidR="00F00E37" w:rsidRDefault="00F00E37" w:rsidP="00F00E37">
      <w:pPr>
        <w:spacing w:after="0"/>
        <w:rPr>
          <w:b/>
          <w:noProof/>
        </w:rPr>
      </w:pPr>
      <w:r w:rsidRPr="000275F3">
        <w:rPr>
          <w:b/>
          <w:noProof/>
        </w:rPr>
        <w:t>National Deaf Children’s Society briefing</w:t>
      </w:r>
    </w:p>
    <w:p w:rsidR="00F00E37" w:rsidRDefault="00F00E37" w:rsidP="00F00E37">
      <w:pPr>
        <w:spacing w:after="0"/>
        <w:rPr>
          <w:b/>
          <w:noProof/>
        </w:rPr>
      </w:pPr>
      <w:bookmarkStart w:id="0" w:name="_GoBack"/>
      <w:bookmarkEnd w:id="0"/>
    </w:p>
    <w:p w:rsidR="00F00E37" w:rsidRDefault="00F00E37" w:rsidP="00F00E37">
      <w:pPr>
        <w:pStyle w:val="ListParagraph"/>
        <w:numPr>
          <w:ilvl w:val="0"/>
          <w:numId w:val="29"/>
        </w:numPr>
        <w:spacing w:after="0"/>
        <w:rPr>
          <w:b/>
          <w:noProof/>
        </w:rPr>
      </w:pPr>
      <w:r>
        <w:rPr>
          <w:b/>
          <w:noProof/>
        </w:rPr>
        <w:t>Summary</w:t>
      </w:r>
    </w:p>
    <w:p w:rsidR="00D83ACF" w:rsidRDefault="00D83ACF" w:rsidP="00D83ACF">
      <w:pPr>
        <w:pStyle w:val="ListParagraph"/>
        <w:spacing w:after="0"/>
        <w:rPr>
          <w:b/>
          <w:noProof/>
        </w:rPr>
      </w:pPr>
    </w:p>
    <w:p w:rsidR="00F00E37" w:rsidRPr="00466789" w:rsidRDefault="00466789" w:rsidP="00466789">
      <w:pPr>
        <w:pStyle w:val="ListParagraph"/>
        <w:numPr>
          <w:ilvl w:val="0"/>
          <w:numId w:val="33"/>
        </w:numPr>
        <w:spacing w:after="0"/>
        <w:rPr>
          <w:b/>
          <w:noProof/>
        </w:rPr>
      </w:pPr>
      <w:r>
        <w:rPr>
          <w:noProof/>
        </w:rPr>
        <w:t>The data published in 2019 for the 2017/18 cohort of school leavers illustrates that a significant attainment gap continues to exist for deaf learners;</w:t>
      </w:r>
    </w:p>
    <w:p w:rsidR="00466789" w:rsidRPr="00466789" w:rsidRDefault="00466789" w:rsidP="00466789">
      <w:pPr>
        <w:pStyle w:val="ListParagraph"/>
        <w:numPr>
          <w:ilvl w:val="1"/>
          <w:numId w:val="33"/>
        </w:numPr>
        <w:spacing w:after="0"/>
        <w:rPr>
          <w:b/>
          <w:noProof/>
        </w:rPr>
      </w:pPr>
      <w:r>
        <w:rPr>
          <w:noProof/>
        </w:rPr>
        <w:t>8.2% of deaf learners left school with no qualification (compared with 2.6% of all pupils) and 42.6% obtained Highers or Advanced Highers (compared with 61.3% of all pupils)</w:t>
      </w:r>
    </w:p>
    <w:p w:rsidR="00466789" w:rsidRPr="00466789" w:rsidRDefault="00466789" w:rsidP="00466789">
      <w:pPr>
        <w:pStyle w:val="ListParagraph"/>
        <w:numPr>
          <w:ilvl w:val="1"/>
          <w:numId w:val="33"/>
        </w:numPr>
        <w:spacing w:after="0"/>
        <w:rPr>
          <w:b/>
          <w:noProof/>
        </w:rPr>
      </w:pPr>
      <w:r>
        <w:rPr>
          <w:noProof/>
        </w:rPr>
        <w:t>The gap continues post-school with 26.8% of deaf learners going on to university compared with 48.1% of those with no additional support needs (ASN).</w:t>
      </w:r>
    </w:p>
    <w:p w:rsidR="00466789" w:rsidRPr="00466789" w:rsidRDefault="00466789" w:rsidP="00466789">
      <w:pPr>
        <w:pStyle w:val="ListParagraph"/>
        <w:numPr>
          <w:ilvl w:val="0"/>
          <w:numId w:val="33"/>
        </w:numPr>
        <w:spacing w:after="0"/>
        <w:rPr>
          <w:b/>
          <w:noProof/>
        </w:rPr>
      </w:pPr>
      <w:r>
        <w:rPr>
          <w:noProof/>
        </w:rPr>
        <w:t>We are concerned that the number of deaf young people obtaining no qualification continues.</w:t>
      </w:r>
    </w:p>
    <w:p w:rsidR="00466789" w:rsidRPr="004106DA" w:rsidRDefault="00466789" w:rsidP="00466789">
      <w:pPr>
        <w:pStyle w:val="ListParagraph"/>
        <w:numPr>
          <w:ilvl w:val="0"/>
          <w:numId w:val="33"/>
        </w:numPr>
        <w:spacing w:after="0"/>
        <w:rPr>
          <w:b/>
          <w:noProof/>
        </w:rPr>
      </w:pPr>
      <w:r>
        <w:rPr>
          <w:noProof/>
        </w:rPr>
        <w:t>Additionally, the</w:t>
      </w:r>
      <w:r w:rsidR="004106DA">
        <w:rPr>
          <w:noProof/>
        </w:rPr>
        <w:t>re is still a significant gap (28.7%) in numbers of deaf pupils obtaining Highers and Advanced Highers compated with those pupils with no ASN.</w:t>
      </w:r>
    </w:p>
    <w:p w:rsidR="004106DA" w:rsidRPr="004106DA" w:rsidRDefault="004106DA" w:rsidP="00466789">
      <w:pPr>
        <w:pStyle w:val="ListParagraph"/>
        <w:numPr>
          <w:ilvl w:val="0"/>
          <w:numId w:val="33"/>
        </w:numPr>
        <w:spacing w:after="0"/>
        <w:rPr>
          <w:b/>
          <w:noProof/>
        </w:rPr>
      </w:pPr>
      <w:r>
        <w:rPr>
          <w:noProof/>
        </w:rPr>
        <w:t>Similarly, there continues to be a large discrepancy in numbers of deaf pupils entering HE settings compared with no ASN pupils (21.3%).</w:t>
      </w:r>
    </w:p>
    <w:p w:rsidR="004106DA" w:rsidRPr="00466789" w:rsidRDefault="004106DA" w:rsidP="00466789">
      <w:pPr>
        <w:pStyle w:val="ListParagraph"/>
        <w:numPr>
          <w:ilvl w:val="0"/>
          <w:numId w:val="33"/>
        </w:numPr>
        <w:spacing w:after="0"/>
        <w:rPr>
          <w:b/>
          <w:noProof/>
        </w:rPr>
      </w:pPr>
      <w:r>
        <w:rPr>
          <w:noProof/>
        </w:rPr>
        <w:t>Entry into FE settings by deaf pupils post-school continues to rise and be the most popular destination for this group.</w:t>
      </w:r>
    </w:p>
    <w:p w:rsidR="00F00E37" w:rsidRPr="00F00E37" w:rsidRDefault="00F00E37" w:rsidP="00F00E37">
      <w:pPr>
        <w:spacing w:after="0"/>
        <w:rPr>
          <w:b/>
          <w:noProof/>
        </w:rPr>
      </w:pPr>
    </w:p>
    <w:p w:rsidR="00F00E37" w:rsidRDefault="00F00E37" w:rsidP="00F00E37">
      <w:pPr>
        <w:pStyle w:val="ListParagraph"/>
        <w:numPr>
          <w:ilvl w:val="0"/>
          <w:numId w:val="29"/>
        </w:numPr>
        <w:spacing w:after="0"/>
        <w:rPr>
          <w:b/>
          <w:noProof/>
        </w:rPr>
      </w:pPr>
      <w:r>
        <w:rPr>
          <w:b/>
          <w:noProof/>
        </w:rPr>
        <w:t>Background</w:t>
      </w:r>
    </w:p>
    <w:p w:rsidR="00F00E37" w:rsidRDefault="00F00E37" w:rsidP="00F00E37">
      <w:pPr>
        <w:spacing w:after="0"/>
        <w:rPr>
          <w:b/>
          <w:noProof/>
        </w:rPr>
      </w:pPr>
    </w:p>
    <w:p w:rsidR="00F00E37" w:rsidRDefault="00F00E37" w:rsidP="00F00E37">
      <w:pPr>
        <w:pStyle w:val="ListParagraph"/>
        <w:numPr>
          <w:ilvl w:val="0"/>
          <w:numId w:val="30"/>
        </w:numPr>
        <w:spacing w:after="0"/>
        <w:rPr>
          <w:noProof/>
        </w:rPr>
      </w:pPr>
      <w:r>
        <w:rPr>
          <w:noProof/>
        </w:rPr>
        <w:t>There are at least 3363 deaf children and young people in Scotland today (CRIDE 2018)</w:t>
      </w:r>
    </w:p>
    <w:p w:rsidR="00F00E37" w:rsidRPr="000275F3" w:rsidRDefault="00F00E37" w:rsidP="00F00E37">
      <w:pPr>
        <w:pStyle w:val="ListParagraph"/>
        <w:numPr>
          <w:ilvl w:val="0"/>
          <w:numId w:val="30"/>
        </w:numPr>
        <w:spacing w:after="0"/>
        <w:jc w:val="both"/>
        <w:rPr>
          <w:rFonts w:cs="Arial"/>
        </w:rPr>
      </w:pPr>
      <w:r w:rsidRPr="000275F3">
        <w:rPr>
          <w:rFonts w:cs="Arial"/>
        </w:rPr>
        <w:t xml:space="preserve">90% of deaf children have hearing parents or carers, this makes support, intervention and information in the early years crucial for families, to ensure children have the best start in life; </w:t>
      </w:r>
    </w:p>
    <w:p w:rsidR="00F00E37" w:rsidRPr="000275F3" w:rsidRDefault="00F00E37" w:rsidP="00F00E37">
      <w:pPr>
        <w:pStyle w:val="ListParagraph"/>
        <w:numPr>
          <w:ilvl w:val="0"/>
          <w:numId w:val="31"/>
        </w:numPr>
        <w:spacing w:after="0"/>
        <w:jc w:val="both"/>
        <w:rPr>
          <w:rFonts w:cs="Arial"/>
        </w:rPr>
      </w:pPr>
      <w:r w:rsidRPr="000275F3">
        <w:rPr>
          <w:rFonts w:cs="Arial"/>
        </w:rPr>
        <w:t xml:space="preserve">Around </w:t>
      </w:r>
      <w:r w:rsidRPr="00BA2633">
        <w:rPr>
          <w:rFonts w:cs="Arial"/>
        </w:rPr>
        <w:t>87%</w:t>
      </w:r>
      <w:r w:rsidRPr="000275F3">
        <w:rPr>
          <w:rFonts w:cs="Arial"/>
        </w:rPr>
        <w:t xml:space="preserve"> of deaf children are educated in mainstream schools, making additional specialist support crucial to ensuring these learners reach their full potential; </w:t>
      </w:r>
    </w:p>
    <w:p w:rsidR="00F00E37" w:rsidRPr="000275F3" w:rsidRDefault="00F00E37" w:rsidP="00F00E37">
      <w:pPr>
        <w:pStyle w:val="ListParagraph"/>
        <w:numPr>
          <w:ilvl w:val="0"/>
          <w:numId w:val="31"/>
        </w:numPr>
        <w:spacing w:after="0"/>
        <w:rPr>
          <w:b/>
        </w:rPr>
      </w:pPr>
      <w:r w:rsidRPr="000275F3">
        <w:t xml:space="preserve">The specialist teacher workforce continues to face challenges </w:t>
      </w:r>
      <w:r w:rsidRPr="000275F3">
        <w:rPr>
          <w:rFonts w:cstheme="minorHAnsi"/>
        </w:rPr>
        <w:t xml:space="preserve">with data suggesting overall reductions in numbers of Teachers of the Deaf in education authorities between </w:t>
      </w:r>
      <w:r w:rsidRPr="00BA2633">
        <w:rPr>
          <w:rFonts w:cstheme="minorHAnsi"/>
        </w:rPr>
        <w:t>2015 and 2018</w:t>
      </w:r>
      <w:r>
        <w:rPr>
          <w:rFonts w:cstheme="minorHAnsi"/>
        </w:rPr>
        <w:t xml:space="preserve"> (</w:t>
      </w:r>
      <w:r w:rsidR="00BA2633">
        <w:rPr>
          <w:rFonts w:cstheme="minorHAnsi"/>
        </w:rPr>
        <w:t>CRIDE 2017</w:t>
      </w:r>
      <w:r>
        <w:rPr>
          <w:rFonts w:cstheme="minorHAnsi"/>
        </w:rPr>
        <w:t>)</w:t>
      </w:r>
    </w:p>
    <w:p w:rsidR="00F00E37" w:rsidRDefault="00F00E37" w:rsidP="00F00E37">
      <w:pPr>
        <w:pStyle w:val="ListParagraph"/>
        <w:numPr>
          <w:ilvl w:val="0"/>
          <w:numId w:val="32"/>
        </w:numPr>
      </w:pPr>
      <w:r w:rsidRPr="000275F3">
        <w:t>With the right support, deaf young people can achieve as much as their hearing peers. However we continue to be concerned about the persisting education attainme</w:t>
      </w:r>
      <w:r>
        <w:t>nt gap facing deaf young people.</w:t>
      </w:r>
    </w:p>
    <w:p w:rsidR="00F00E37" w:rsidRPr="00F00E37" w:rsidRDefault="00F00E37" w:rsidP="00F00E37">
      <w:pPr>
        <w:pStyle w:val="ListParagraph"/>
      </w:pPr>
    </w:p>
    <w:p w:rsidR="00F00E37" w:rsidRDefault="00F00E37" w:rsidP="00F00E37">
      <w:pPr>
        <w:pStyle w:val="ListParagraph"/>
        <w:numPr>
          <w:ilvl w:val="0"/>
          <w:numId w:val="29"/>
        </w:numPr>
        <w:spacing w:after="0"/>
        <w:rPr>
          <w:b/>
          <w:noProof/>
        </w:rPr>
      </w:pPr>
      <w:r>
        <w:rPr>
          <w:b/>
          <w:noProof/>
        </w:rPr>
        <w:t>Statistics in context</w:t>
      </w:r>
    </w:p>
    <w:p w:rsidR="00F00E37" w:rsidRDefault="00F00E37" w:rsidP="00F00E37">
      <w:pPr>
        <w:spacing w:after="0"/>
        <w:rPr>
          <w:b/>
          <w:noProof/>
        </w:rPr>
      </w:pPr>
    </w:p>
    <w:p w:rsidR="00F00E37" w:rsidRPr="000275F3" w:rsidRDefault="00BA2633" w:rsidP="00F00E37">
      <w:pPr>
        <w:pStyle w:val="ListParagraph"/>
        <w:numPr>
          <w:ilvl w:val="0"/>
          <w:numId w:val="32"/>
        </w:numPr>
        <w:rPr>
          <w:b/>
        </w:rPr>
      </w:pPr>
      <w:r>
        <w:t>Comparison of pre-</w:t>
      </w:r>
      <w:r w:rsidR="00F00E37" w:rsidRPr="000275F3">
        <w:t>2015 data is challenging as this marked the first year of the new set of results from the new qualifications framework, with National 4 and 5 qualifications replacing Standard Grades. A key difference with the new qualifications is how they are assessed.</w:t>
      </w:r>
    </w:p>
    <w:p w:rsidR="00F00E37" w:rsidRPr="000275F3" w:rsidRDefault="00F00E37" w:rsidP="00F00E37">
      <w:pPr>
        <w:pStyle w:val="ListParagraph"/>
        <w:numPr>
          <w:ilvl w:val="0"/>
          <w:numId w:val="32"/>
        </w:numPr>
        <w:spacing w:after="0"/>
      </w:pPr>
      <w:r w:rsidRPr="000275F3">
        <w:t xml:space="preserve">There are 7 methods of assessment being used by practitioners, only one of which is written tests or examination. The others are: projects, assignments, practical activity, portfolio, case study and performance. </w:t>
      </w:r>
    </w:p>
    <w:p w:rsidR="00F00E37" w:rsidRPr="000275F3" w:rsidRDefault="00F00E37" w:rsidP="00F00E37">
      <w:pPr>
        <w:pStyle w:val="ListParagraph"/>
        <w:numPr>
          <w:ilvl w:val="0"/>
          <w:numId w:val="32"/>
        </w:numPr>
        <w:spacing w:after="0"/>
      </w:pPr>
      <w:r w:rsidRPr="000275F3">
        <w:lastRenderedPageBreak/>
        <w:t xml:space="preserve">The shift towards continual assessment and away from written examination has the potential to benefit deaf learners where they are being effectively supported and appropriate reasonable adjustments made. </w:t>
      </w:r>
    </w:p>
    <w:p w:rsidR="00F00E37" w:rsidRPr="000275F3" w:rsidRDefault="00F00E37" w:rsidP="00F00E37">
      <w:pPr>
        <w:pStyle w:val="ListParagraph"/>
        <w:numPr>
          <w:ilvl w:val="0"/>
          <w:numId w:val="32"/>
        </w:numPr>
        <w:spacing w:after="0"/>
      </w:pPr>
      <w:r w:rsidRPr="000275F3">
        <w:t xml:space="preserve">Deafness can impact negatively on a child’s working memory skills, being able to hold information in mind while working on related activities – crucial for successful traditional written examinations.    </w:t>
      </w:r>
    </w:p>
    <w:p w:rsidR="00F00E37" w:rsidRPr="00F00E37" w:rsidRDefault="00F00E37" w:rsidP="00F00E37">
      <w:pPr>
        <w:pStyle w:val="ListParagraph"/>
        <w:numPr>
          <w:ilvl w:val="0"/>
          <w:numId w:val="32"/>
        </w:numPr>
        <w:spacing w:after="0"/>
        <w:rPr>
          <w:b/>
        </w:rPr>
      </w:pPr>
      <w:r w:rsidRPr="000275F3">
        <w:t>Deafness is a low incidence ASN and every year the number of school leavers in Scotland is small</w:t>
      </w:r>
      <w:r>
        <w:t xml:space="preserve"> and can naturally vary. In 2018</w:t>
      </w:r>
      <w:r w:rsidRPr="000275F3">
        <w:t xml:space="preserve"> the number of school leavers increased to </w:t>
      </w:r>
      <w:r>
        <w:t xml:space="preserve">291 from 278 </w:t>
      </w:r>
      <w:r w:rsidRPr="000275F3">
        <w:t>the previous year.  With varying cohort sizes, it is more difficult to identify trends year on year and account for fluctuations in statistics.</w:t>
      </w:r>
    </w:p>
    <w:p w:rsidR="00F00E37" w:rsidRPr="00F00E37" w:rsidRDefault="00F00E37" w:rsidP="00F00E37">
      <w:pPr>
        <w:spacing w:after="0"/>
        <w:rPr>
          <w:b/>
          <w:noProof/>
        </w:rPr>
      </w:pPr>
    </w:p>
    <w:p w:rsidR="00F00E37" w:rsidRDefault="00F00E37" w:rsidP="00F00E37">
      <w:pPr>
        <w:pStyle w:val="ListParagraph"/>
        <w:numPr>
          <w:ilvl w:val="0"/>
          <w:numId w:val="29"/>
        </w:numPr>
        <w:spacing w:after="0"/>
        <w:rPr>
          <w:b/>
          <w:noProof/>
        </w:rPr>
      </w:pPr>
      <w:r>
        <w:rPr>
          <w:b/>
          <w:noProof/>
        </w:rPr>
        <w:t>Attainment</w:t>
      </w:r>
    </w:p>
    <w:p w:rsidR="00F00E37" w:rsidRDefault="00F00E37" w:rsidP="00F00E37">
      <w:pPr>
        <w:spacing w:after="0"/>
        <w:rPr>
          <w:b/>
          <w:noProof/>
        </w:rPr>
      </w:pPr>
    </w:p>
    <w:p w:rsidR="00F00E37" w:rsidRDefault="00FD4F6B" w:rsidP="00F00E37">
      <w:pPr>
        <w:spacing w:after="0"/>
        <w:rPr>
          <w:b/>
          <w:noProof/>
        </w:rPr>
      </w:pPr>
      <w:r>
        <w:rPr>
          <w:b/>
          <w:noProof/>
        </w:rPr>
        <w:t xml:space="preserve">4.1. </w:t>
      </w:r>
      <w:r w:rsidR="000F00B6">
        <w:rPr>
          <w:b/>
          <w:noProof/>
        </w:rPr>
        <w:t>School leavers with no qualifications t SCQF Level 2 or better (%)</w:t>
      </w:r>
    </w:p>
    <w:p w:rsidR="000F00B6" w:rsidRDefault="000F00B6" w:rsidP="00F00E37">
      <w:pPr>
        <w:spacing w:after="0"/>
        <w:rPr>
          <w:b/>
          <w:noProof/>
        </w:rPr>
      </w:pPr>
    </w:p>
    <w:tbl>
      <w:tblPr>
        <w:tblW w:w="4994" w:type="dxa"/>
        <w:tblLook w:val="04A0" w:firstRow="1" w:lastRow="0" w:firstColumn="1" w:lastColumn="0" w:noHBand="0" w:noVBand="1"/>
      </w:tblPr>
      <w:tblGrid>
        <w:gridCol w:w="1200"/>
        <w:gridCol w:w="1151"/>
        <w:gridCol w:w="1443"/>
        <w:gridCol w:w="1200"/>
      </w:tblGrid>
      <w:tr w:rsidR="000F00B6" w:rsidRPr="000F00B6" w:rsidTr="000F00B6">
        <w:trPr>
          <w:trHeight w:val="315"/>
        </w:trPr>
        <w:tc>
          <w:tcPr>
            <w:tcW w:w="1200" w:type="dxa"/>
            <w:tcBorders>
              <w:top w:val="nil"/>
              <w:left w:val="nil"/>
              <w:bottom w:val="nil"/>
              <w:right w:val="nil"/>
            </w:tcBorders>
            <w:shd w:val="clear" w:color="auto" w:fill="auto"/>
            <w:noWrap/>
            <w:vAlign w:val="bottom"/>
            <w:hideMark/>
          </w:tcPr>
          <w:p w:rsidR="000F00B6" w:rsidRPr="000F00B6" w:rsidRDefault="000F00B6" w:rsidP="000F00B6">
            <w:pPr>
              <w:spacing w:after="0"/>
              <w:rPr>
                <w:rFonts w:ascii="Times New Roman" w:hAnsi="Times New Roman"/>
              </w:rPr>
            </w:pPr>
          </w:p>
        </w:tc>
        <w:tc>
          <w:tcPr>
            <w:tcW w:w="2594" w:type="dxa"/>
            <w:gridSpan w:val="2"/>
            <w:tcBorders>
              <w:top w:val="nil"/>
              <w:left w:val="nil"/>
              <w:bottom w:val="nil"/>
              <w:right w:val="nil"/>
            </w:tcBorders>
            <w:shd w:val="clear" w:color="auto" w:fill="auto"/>
            <w:noWrap/>
            <w:vAlign w:val="bottom"/>
            <w:hideMark/>
          </w:tcPr>
          <w:p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 xml:space="preserve">No qualifications </w:t>
            </w:r>
          </w:p>
        </w:tc>
        <w:tc>
          <w:tcPr>
            <w:tcW w:w="1200" w:type="dxa"/>
            <w:tcBorders>
              <w:top w:val="nil"/>
              <w:left w:val="nil"/>
              <w:bottom w:val="nil"/>
              <w:right w:val="nil"/>
            </w:tcBorders>
            <w:shd w:val="clear" w:color="auto" w:fill="auto"/>
            <w:noWrap/>
            <w:vAlign w:val="bottom"/>
            <w:hideMark/>
          </w:tcPr>
          <w:p w:rsidR="000F00B6" w:rsidRPr="000F00B6" w:rsidRDefault="000F00B6" w:rsidP="000F00B6">
            <w:pPr>
              <w:spacing w:after="0"/>
              <w:rPr>
                <w:rFonts w:ascii="Calibri" w:hAnsi="Calibri" w:cs="Arial"/>
                <w:b/>
                <w:bCs/>
                <w:color w:val="000000"/>
              </w:rPr>
            </w:pPr>
          </w:p>
        </w:tc>
      </w:tr>
      <w:tr w:rsidR="000F00B6" w:rsidRPr="000F00B6" w:rsidTr="000F00B6">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00B6" w:rsidRPr="000F00B6" w:rsidRDefault="000F00B6" w:rsidP="000F00B6">
            <w:pPr>
              <w:spacing w:after="0"/>
              <w:rPr>
                <w:rFonts w:ascii="Calibri" w:hAnsi="Calibri" w:cs="Arial"/>
                <w:color w:val="000000"/>
              </w:rPr>
            </w:pPr>
            <w:r w:rsidRPr="000F00B6">
              <w:rPr>
                <w:rFonts w:ascii="Calibri" w:hAnsi="Calibri" w:cs="Arial"/>
                <w:color w:val="000000"/>
              </w:rPr>
              <w:t> </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Deaf pupils</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No ASN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All pupils</w:t>
            </w:r>
          </w:p>
        </w:tc>
      </w:tr>
      <w:tr w:rsidR="000F00B6" w:rsidRPr="000F00B6"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2009/10</w:t>
            </w:r>
          </w:p>
        </w:tc>
        <w:tc>
          <w:tcPr>
            <w:tcW w:w="1151"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9.1</w:t>
            </w:r>
          </w:p>
        </w:tc>
        <w:tc>
          <w:tcPr>
            <w:tcW w:w="1443"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1.9</w:t>
            </w:r>
          </w:p>
        </w:tc>
        <w:tc>
          <w:tcPr>
            <w:tcW w:w="1200"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2.9</w:t>
            </w:r>
          </w:p>
        </w:tc>
      </w:tr>
      <w:tr w:rsidR="000F00B6" w:rsidRPr="000F00B6"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2010/11</w:t>
            </w:r>
          </w:p>
        </w:tc>
        <w:tc>
          <w:tcPr>
            <w:tcW w:w="1151"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12.6</w:t>
            </w:r>
          </w:p>
        </w:tc>
        <w:tc>
          <w:tcPr>
            <w:tcW w:w="1443"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1.5</w:t>
            </w:r>
          </w:p>
        </w:tc>
        <w:tc>
          <w:tcPr>
            <w:tcW w:w="1200"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2.6</w:t>
            </w:r>
          </w:p>
        </w:tc>
      </w:tr>
      <w:tr w:rsidR="000F00B6" w:rsidRPr="000F00B6"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2011/12</w:t>
            </w:r>
          </w:p>
        </w:tc>
        <w:tc>
          <w:tcPr>
            <w:tcW w:w="1151"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8.2</w:t>
            </w:r>
          </w:p>
        </w:tc>
        <w:tc>
          <w:tcPr>
            <w:tcW w:w="1443"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1.1</w:t>
            </w:r>
          </w:p>
        </w:tc>
        <w:tc>
          <w:tcPr>
            <w:tcW w:w="1200"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2.2</w:t>
            </w:r>
          </w:p>
        </w:tc>
      </w:tr>
      <w:tr w:rsidR="000F00B6" w:rsidRPr="000F00B6"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2012/13</w:t>
            </w:r>
          </w:p>
        </w:tc>
        <w:tc>
          <w:tcPr>
            <w:tcW w:w="1151"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9.8</w:t>
            </w:r>
          </w:p>
        </w:tc>
        <w:tc>
          <w:tcPr>
            <w:tcW w:w="1443"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0.9</w:t>
            </w:r>
          </w:p>
        </w:tc>
        <w:tc>
          <w:tcPr>
            <w:tcW w:w="1200"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w:t>
            </w:r>
          </w:p>
        </w:tc>
      </w:tr>
      <w:tr w:rsidR="000F00B6" w:rsidRPr="000F00B6"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2013/14</w:t>
            </w:r>
          </w:p>
        </w:tc>
        <w:tc>
          <w:tcPr>
            <w:tcW w:w="1151"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0</w:t>
            </w:r>
          </w:p>
        </w:tc>
        <w:tc>
          <w:tcPr>
            <w:tcW w:w="1443"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0</w:t>
            </w:r>
          </w:p>
        </w:tc>
        <w:tc>
          <w:tcPr>
            <w:tcW w:w="1200"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w:t>
            </w:r>
          </w:p>
        </w:tc>
      </w:tr>
      <w:tr w:rsidR="000F00B6" w:rsidRPr="000F00B6"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2014/15</w:t>
            </w:r>
          </w:p>
        </w:tc>
        <w:tc>
          <w:tcPr>
            <w:tcW w:w="1151"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11.8</w:t>
            </w:r>
          </w:p>
        </w:tc>
        <w:tc>
          <w:tcPr>
            <w:tcW w:w="1443"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1.2</w:t>
            </w:r>
          </w:p>
        </w:tc>
        <w:tc>
          <w:tcPr>
            <w:tcW w:w="1200"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2.6</w:t>
            </w:r>
          </w:p>
        </w:tc>
      </w:tr>
      <w:tr w:rsidR="000F00B6" w:rsidRPr="000F00B6"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2015/16</w:t>
            </w:r>
          </w:p>
        </w:tc>
        <w:tc>
          <w:tcPr>
            <w:tcW w:w="1151"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10.3</w:t>
            </w:r>
          </w:p>
        </w:tc>
        <w:tc>
          <w:tcPr>
            <w:tcW w:w="1443"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1.1</w:t>
            </w:r>
          </w:p>
        </w:tc>
        <w:tc>
          <w:tcPr>
            <w:tcW w:w="1200"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2.5</w:t>
            </w:r>
          </w:p>
        </w:tc>
      </w:tr>
      <w:tr w:rsidR="000F00B6" w:rsidRPr="000F00B6"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2016/17</w:t>
            </w:r>
          </w:p>
        </w:tc>
        <w:tc>
          <w:tcPr>
            <w:tcW w:w="1151"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9.4</w:t>
            </w:r>
          </w:p>
        </w:tc>
        <w:tc>
          <w:tcPr>
            <w:tcW w:w="1443"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w:t>
            </w:r>
          </w:p>
        </w:tc>
        <w:tc>
          <w:tcPr>
            <w:tcW w:w="1200"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2.5</w:t>
            </w:r>
          </w:p>
        </w:tc>
      </w:tr>
      <w:tr w:rsidR="000F00B6" w:rsidRPr="000F00B6" w:rsidTr="000F00B6">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F00B6" w:rsidRPr="000F00B6" w:rsidRDefault="000F00B6" w:rsidP="000F00B6">
            <w:pPr>
              <w:spacing w:after="0"/>
              <w:rPr>
                <w:rFonts w:ascii="Calibri" w:hAnsi="Calibri" w:cs="Arial"/>
                <w:b/>
                <w:bCs/>
                <w:color w:val="000000"/>
              </w:rPr>
            </w:pPr>
            <w:r w:rsidRPr="000F00B6">
              <w:rPr>
                <w:rFonts w:ascii="Calibri" w:hAnsi="Calibri" w:cs="Arial"/>
                <w:b/>
                <w:bCs/>
                <w:color w:val="000000"/>
              </w:rPr>
              <w:t>2017/18</w:t>
            </w:r>
          </w:p>
        </w:tc>
        <w:tc>
          <w:tcPr>
            <w:tcW w:w="1151" w:type="dxa"/>
            <w:tcBorders>
              <w:top w:val="nil"/>
              <w:left w:val="nil"/>
              <w:bottom w:val="single" w:sz="4" w:space="0" w:color="auto"/>
              <w:right w:val="single" w:sz="4" w:space="0" w:color="auto"/>
            </w:tcBorders>
            <w:shd w:val="clear" w:color="000000" w:fill="FDE9D9"/>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8.2</w:t>
            </w:r>
          </w:p>
        </w:tc>
        <w:tc>
          <w:tcPr>
            <w:tcW w:w="1443" w:type="dxa"/>
            <w:tcBorders>
              <w:top w:val="nil"/>
              <w:left w:val="nil"/>
              <w:bottom w:val="single" w:sz="4" w:space="0" w:color="auto"/>
              <w:right w:val="single" w:sz="4" w:space="0" w:color="auto"/>
            </w:tcBorders>
            <w:shd w:val="clear" w:color="000000" w:fill="FDE9D9"/>
            <w:noWrap/>
            <w:vAlign w:val="bottom"/>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1.1</w:t>
            </w:r>
          </w:p>
        </w:tc>
        <w:tc>
          <w:tcPr>
            <w:tcW w:w="1200" w:type="dxa"/>
            <w:tcBorders>
              <w:top w:val="nil"/>
              <w:left w:val="nil"/>
              <w:bottom w:val="single" w:sz="4" w:space="0" w:color="auto"/>
              <w:right w:val="single" w:sz="4" w:space="0" w:color="auto"/>
            </w:tcBorders>
            <w:shd w:val="clear" w:color="000000" w:fill="FDE9D9"/>
            <w:noWrap/>
            <w:vAlign w:val="bottom"/>
            <w:hideMark/>
          </w:tcPr>
          <w:p w:rsidR="000F00B6" w:rsidRPr="000F00B6" w:rsidRDefault="000F00B6" w:rsidP="000F00B6">
            <w:pPr>
              <w:spacing w:after="0"/>
              <w:jc w:val="right"/>
              <w:rPr>
                <w:rFonts w:ascii="Calibri" w:hAnsi="Calibri" w:cs="Arial"/>
                <w:color w:val="000000"/>
              </w:rPr>
            </w:pPr>
            <w:r w:rsidRPr="000F00B6">
              <w:rPr>
                <w:rFonts w:ascii="Calibri" w:hAnsi="Calibri" w:cs="Arial"/>
                <w:color w:val="000000"/>
              </w:rPr>
              <w:t>2.6</w:t>
            </w:r>
          </w:p>
        </w:tc>
      </w:tr>
    </w:tbl>
    <w:p w:rsidR="000F00B6" w:rsidRDefault="000F00B6" w:rsidP="00F00E37">
      <w:pPr>
        <w:spacing w:after="0"/>
        <w:rPr>
          <w:b/>
          <w:noProof/>
        </w:rPr>
      </w:pPr>
    </w:p>
    <w:p w:rsidR="000F00B6" w:rsidRDefault="000F00B6" w:rsidP="00F00E37">
      <w:pPr>
        <w:spacing w:after="0"/>
        <w:rPr>
          <w:b/>
          <w:noProof/>
        </w:rPr>
      </w:pPr>
      <w:r>
        <w:rPr>
          <w:noProof/>
        </w:rPr>
        <w:drawing>
          <wp:inline distT="0" distB="0" distL="0" distR="0" wp14:anchorId="452F785B" wp14:editId="530762EF">
            <wp:extent cx="4572000" cy="32289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0E37" w:rsidRPr="00B222B9" w:rsidRDefault="00F00E37" w:rsidP="00F00E37">
      <w:pPr>
        <w:spacing w:after="0"/>
        <w:rPr>
          <w:noProof/>
        </w:rPr>
      </w:pPr>
    </w:p>
    <w:p w:rsidR="00FD4F6B" w:rsidRPr="00B222B9" w:rsidRDefault="00B222B9" w:rsidP="00F00E37">
      <w:pPr>
        <w:spacing w:after="0"/>
        <w:rPr>
          <w:noProof/>
        </w:rPr>
      </w:pPr>
      <w:r w:rsidRPr="00B222B9">
        <w:rPr>
          <w:noProof/>
        </w:rPr>
        <w:lastRenderedPageBreak/>
        <w:t>Numbers of</w:t>
      </w:r>
      <w:r>
        <w:rPr>
          <w:noProof/>
        </w:rPr>
        <w:t xml:space="preserve"> deaf children leaving school is down slightly from last year’s cohort, which is positive. However we continue to see a gap between numbers of deaf children leaving school with no qualifications compared with all school leavers, with 8.2% being a significant percentage of a small cohort.</w:t>
      </w:r>
    </w:p>
    <w:p w:rsidR="00B222B9" w:rsidRDefault="00B222B9" w:rsidP="00F00E37">
      <w:pPr>
        <w:spacing w:after="0"/>
        <w:rPr>
          <w:b/>
          <w:noProof/>
        </w:rPr>
      </w:pPr>
    </w:p>
    <w:p w:rsidR="00FD4F6B" w:rsidRDefault="00FD4F6B" w:rsidP="00F00E37">
      <w:pPr>
        <w:spacing w:after="0"/>
        <w:rPr>
          <w:b/>
          <w:noProof/>
        </w:rPr>
      </w:pPr>
      <w:r w:rsidRPr="00FD4F6B">
        <w:rPr>
          <w:b/>
          <w:noProof/>
        </w:rPr>
        <w:t xml:space="preserve">4.2. </w:t>
      </w:r>
      <w:r>
        <w:rPr>
          <w:b/>
          <w:noProof/>
        </w:rPr>
        <w:t>Numbers obtaining National 4 and National 5 qualifications (qualifying for FE)</w:t>
      </w:r>
    </w:p>
    <w:p w:rsidR="007C0C14" w:rsidRDefault="007C0C14" w:rsidP="00F00E37">
      <w:pPr>
        <w:spacing w:after="0"/>
        <w:rPr>
          <w:b/>
          <w:noProof/>
        </w:rPr>
      </w:pPr>
    </w:p>
    <w:tbl>
      <w:tblPr>
        <w:tblW w:w="4801" w:type="dxa"/>
        <w:tblInd w:w="-5" w:type="dxa"/>
        <w:tblLook w:val="04A0" w:firstRow="1" w:lastRow="0" w:firstColumn="1" w:lastColumn="0" w:noHBand="0" w:noVBand="1"/>
      </w:tblPr>
      <w:tblGrid>
        <w:gridCol w:w="1200"/>
        <w:gridCol w:w="1189"/>
        <w:gridCol w:w="1443"/>
        <w:gridCol w:w="969"/>
      </w:tblGrid>
      <w:tr w:rsidR="007C0C14" w:rsidRPr="007C0C14" w:rsidTr="007C0C14">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color w:val="000000"/>
              </w:rPr>
            </w:pPr>
            <w:r w:rsidRPr="007C0C14">
              <w:rPr>
                <w:rFonts w:ascii="Calibri" w:hAnsi="Calibri" w:cs="Arial"/>
                <w:color w:val="000000"/>
              </w:rPr>
              <w:t> </w:t>
            </w:r>
          </w:p>
        </w:tc>
        <w:tc>
          <w:tcPr>
            <w:tcW w:w="1189" w:type="dxa"/>
            <w:tcBorders>
              <w:top w:val="single" w:sz="4" w:space="0" w:color="auto"/>
              <w:left w:val="nil"/>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Deaf pupils</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No ASN pupils</w:t>
            </w:r>
          </w:p>
        </w:tc>
        <w:tc>
          <w:tcPr>
            <w:tcW w:w="969" w:type="dxa"/>
            <w:tcBorders>
              <w:top w:val="single" w:sz="4" w:space="0" w:color="auto"/>
              <w:left w:val="nil"/>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All pupils</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2009/10</w:t>
            </w:r>
          </w:p>
        </w:tc>
        <w:tc>
          <w:tcPr>
            <w:tcW w:w="1189"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51.6</w:t>
            </w:r>
          </w:p>
        </w:tc>
        <w:tc>
          <w:tcPr>
            <w:tcW w:w="1443"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43.4</w:t>
            </w:r>
          </w:p>
        </w:tc>
        <w:tc>
          <w:tcPr>
            <w:tcW w:w="969"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43.9</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2010/11</w:t>
            </w:r>
          </w:p>
        </w:tc>
        <w:tc>
          <w:tcPr>
            <w:tcW w:w="1189"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34.9</w:t>
            </w:r>
          </w:p>
        </w:tc>
        <w:tc>
          <w:tcPr>
            <w:tcW w:w="1443"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40.8</w:t>
            </w:r>
          </w:p>
        </w:tc>
        <w:tc>
          <w:tcPr>
            <w:tcW w:w="969"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42.5</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2011/12</w:t>
            </w:r>
          </w:p>
        </w:tc>
        <w:tc>
          <w:tcPr>
            <w:tcW w:w="1189"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45.2</w:t>
            </w:r>
          </w:p>
        </w:tc>
        <w:tc>
          <w:tcPr>
            <w:tcW w:w="1443"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37.3</w:t>
            </w:r>
          </w:p>
        </w:tc>
        <w:tc>
          <w:tcPr>
            <w:tcW w:w="969"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39.9</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2012/13</w:t>
            </w:r>
          </w:p>
        </w:tc>
        <w:tc>
          <w:tcPr>
            <w:tcW w:w="1189"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45.1</w:t>
            </w:r>
          </w:p>
        </w:tc>
        <w:tc>
          <w:tcPr>
            <w:tcW w:w="1443"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36.6</w:t>
            </w:r>
          </w:p>
        </w:tc>
        <w:tc>
          <w:tcPr>
            <w:tcW w:w="969"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40.2</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2013/14</w:t>
            </w:r>
          </w:p>
        </w:tc>
        <w:tc>
          <w:tcPr>
            <w:tcW w:w="1189"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51.6</w:t>
            </w:r>
          </w:p>
        </w:tc>
        <w:tc>
          <w:tcPr>
            <w:tcW w:w="1443"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33.2</w:t>
            </w:r>
          </w:p>
        </w:tc>
        <w:tc>
          <w:tcPr>
            <w:tcW w:w="969"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37.5</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2014/15</w:t>
            </w:r>
          </w:p>
        </w:tc>
        <w:tc>
          <w:tcPr>
            <w:tcW w:w="1189"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43.1</w:t>
            </w:r>
          </w:p>
        </w:tc>
        <w:tc>
          <w:tcPr>
            <w:tcW w:w="1443"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31.1</w:t>
            </w:r>
          </w:p>
        </w:tc>
        <w:tc>
          <w:tcPr>
            <w:tcW w:w="969"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35.8</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2015/16</w:t>
            </w:r>
          </w:p>
        </w:tc>
        <w:tc>
          <w:tcPr>
            <w:tcW w:w="1189"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38.3</w:t>
            </w:r>
          </w:p>
        </w:tc>
        <w:tc>
          <w:tcPr>
            <w:tcW w:w="1443"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29.1</w:t>
            </w:r>
          </w:p>
        </w:tc>
        <w:tc>
          <w:tcPr>
            <w:tcW w:w="969"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34.5</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2016/17</w:t>
            </w:r>
          </w:p>
        </w:tc>
        <w:tc>
          <w:tcPr>
            <w:tcW w:w="1189"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37.4</w:t>
            </w:r>
          </w:p>
        </w:tc>
        <w:tc>
          <w:tcPr>
            <w:tcW w:w="1443"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28.5</w:t>
            </w:r>
          </w:p>
        </w:tc>
        <w:tc>
          <w:tcPr>
            <w:tcW w:w="969"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34.9</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2017/18</w:t>
            </w:r>
          </w:p>
        </w:tc>
        <w:tc>
          <w:tcPr>
            <w:tcW w:w="1189"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39.5</w:t>
            </w:r>
          </w:p>
        </w:tc>
        <w:tc>
          <w:tcPr>
            <w:tcW w:w="1443" w:type="dxa"/>
            <w:tcBorders>
              <w:top w:val="nil"/>
              <w:left w:val="nil"/>
              <w:bottom w:val="single" w:sz="4" w:space="0" w:color="auto"/>
              <w:right w:val="single" w:sz="4" w:space="0" w:color="auto"/>
            </w:tcBorders>
            <w:shd w:val="clear" w:color="000000" w:fill="FDE9D9"/>
            <w:noWrap/>
            <w:vAlign w:val="bottom"/>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27</w:t>
            </w:r>
          </w:p>
        </w:tc>
        <w:tc>
          <w:tcPr>
            <w:tcW w:w="969" w:type="dxa"/>
            <w:tcBorders>
              <w:top w:val="nil"/>
              <w:left w:val="nil"/>
              <w:bottom w:val="single" w:sz="4" w:space="0" w:color="auto"/>
              <w:right w:val="single" w:sz="4" w:space="0" w:color="auto"/>
            </w:tcBorders>
            <w:shd w:val="clear" w:color="000000" w:fill="FDE9D9"/>
            <w:noWrap/>
            <w:vAlign w:val="bottom"/>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34</w:t>
            </w:r>
          </w:p>
        </w:tc>
      </w:tr>
    </w:tbl>
    <w:p w:rsidR="007C0C14" w:rsidRDefault="007C0C14" w:rsidP="00F00E37">
      <w:pPr>
        <w:spacing w:after="0"/>
        <w:rPr>
          <w:b/>
          <w:noProof/>
        </w:rPr>
      </w:pPr>
    </w:p>
    <w:p w:rsidR="007C0C14" w:rsidRDefault="007C0C14" w:rsidP="00F00E37">
      <w:pPr>
        <w:spacing w:after="0"/>
        <w:rPr>
          <w:b/>
          <w:noProof/>
        </w:rPr>
      </w:pPr>
      <w:r>
        <w:rPr>
          <w:noProof/>
        </w:rPr>
        <w:drawing>
          <wp:inline distT="0" distB="0" distL="0" distR="0" wp14:anchorId="6672B89B" wp14:editId="3F7CF808">
            <wp:extent cx="4572000" cy="31623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C0C14" w:rsidRDefault="007C0C14" w:rsidP="00F00E37">
      <w:pPr>
        <w:spacing w:after="0"/>
        <w:rPr>
          <w:b/>
          <w:noProof/>
        </w:rPr>
      </w:pPr>
    </w:p>
    <w:p w:rsidR="007C0C14" w:rsidRDefault="007C0C14" w:rsidP="00F00E37">
      <w:pPr>
        <w:spacing w:after="0"/>
        <w:rPr>
          <w:b/>
          <w:noProof/>
        </w:rPr>
      </w:pPr>
    </w:p>
    <w:p w:rsidR="005B0661" w:rsidRDefault="005B0661" w:rsidP="007C0C14">
      <w:pPr>
        <w:tabs>
          <w:tab w:val="left" w:pos="3495"/>
        </w:tabs>
        <w:spacing w:after="0"/>
        <w:rPr>
          <w:noProof/>
        </w:rPr>
      </w:pPr>
      <w:r>
        <w:rPr>
          <w:noProof/>
        </w:rPr>
        <w:t xml:space="preserve">The number of deaf school school leavers obtaining N4 and N5 as their highest qualification has increased for the first time in two years. FE continues to be the most popular post-school destination </w:t>
      </w:r>
      <w:r w:rsidR="007F2A15">
        <w:rPr>
          <w:noProof/>
        </w:rPr>
        <w:t>for deaf school leavers. Currently data is not collected on the experiences of deaf learners in FE settings.</w:t>
      </w:r>
    </w:p>
    <w:p w:rsidR="007C0C14" w:rsidRDefault="007C0C14" w:rsidP="007C0C14">
      <w:pPr>
        <w:tabs>
          <w:tab w:val="left" w:pos="3495"/>
        </w:tabs>
        <w:spacing w:after="0"/>
        <w:rPr>
          <w:noProof/>
        </w:rPr>
      </w:pPr>
    </w:p>
    <w:p w:rsidR="007C0C14" w:rsidRDefault="007C0C14" w:rsidP="007C0C14">
      <w:pPr>
        <w:tabs>
          <w:tab w:val="left" w:pos="3495"/>
        </w:tabs>
        <w:spacing w:after="0"/>
        <w:rPr>
          <w:b/>
          <w:noProof/>
        </w:rPr>
      </w:pPr>
      <w:r>
        <w:rPr>
          <w:b/>
          <w:noProof/>
        </w:rPr>
        <w:t>4.3. Numbers obtaining Highers and Advanced Highers (qualifying for HE)</w:t>
      </w:r>
    </w:p>
    <w:p w:rsidR="007C0C14" w:rsidRDefault="007C0C14" w:rsidP="007C0C14">
      <w:pPr>
        <w:tabs>
          <w:tab w:val="left" w:pos="3495"/>
        </w:tabs>
        <w:spacing w:after="0"/>
        <w:rPr>
          <w:b/>
          <w:noProof/>
        </w:rPr>
      </w:pPr>
    </w:p>
    <w:tbl>
      <w:tblPr>
        <w:tblW w:w="4800" w:type="dxa"/>
        <w:tblLook w:val="04A0" w:firstRow="1" w:lastRow="0" w:firstColumn="1" w:lastColumn="0" w:noHBand="0" w:noVBand="1"/>
      </w:tblPr>
      <w:tblGrid>
        <w:gridCol w:w="1200"/>
        <w:gridCol w:w="1200"/>
        <w:gridCol w:w="1200"/>
        <w:gridCol w:w="1200"/>
      </w:tblGrid>
      <w:tr w:rsidR="007C0C14" w:rsidRPr="007C0C14" w:rsidTr="007C0C14">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color w:val="000000"/>
              </w:rPr>
            </w:pPr>
            <w:r w:rsidRPr="007C0C14">
              <w:rPr>
                <w:rFonts w:ascii="Calibri" w:hAnsi="Calibri" w:cs="Arial"/>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Deaf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No ASN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All pupils</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lastRenderedPageBreak/>
              <w:t>2009/10</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12.1</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52.7</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49.8</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2010/11</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25.2</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55.8</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51.8</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2011/12</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36.4</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60.2</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54.8</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2012/13</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36.3</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61.1</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54.8</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2013/14</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33.3</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64.8</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58</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2014/15</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38.7</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67</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59.3</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2015/16</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44.2</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69.1</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60.7</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2016/17</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42.4</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69.8</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60.3</w:t>
            </w:r>
          </w:p>
        </w:tc>
      </w:tr>
      <w:tr w:rsidR="007C0C14" w:rsidRPr="007C0C14" w:rsidTr="007C0C14">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0C14" w:rsidRPr="007C0C14" w:rsidRDefault="007C0C14" w:rsidP="007C0C14">
            <w:pPr>
              <w:spacing w:after="0"/>
              <w:rPr>
                <w:rFonts w:ascii="Calibri" w:hAnsi="Calibri" w:cs="Arial"/>
                <w:b/>
                <w:bCs/>
                <w:color w:val="000000"/>
              </w:rPr>
            </w:pPr>
            <w:r w:rsidRPr="007C0C14">
              <w:rPr>
                <w:rFonts w:ascii="Calibri" w:hAnsi="Calibri" w:cs="Arial"/>
                <w:b/>
                <w:bCs/>
                <w:color w:val="000000"/>
              </w:rPr>
              <w:t>2017/18</w:t>
            </w:r>
          </w:p>
        </w:tc>
        <w:tc>
          <w:tcPr>
            <w:tcW w:w="1200" w:type="dxa"/>
            <w:tcBorders>
              <w:top w:val="nil"/>
              <w:left w:val="nil"/>
              <w:bottom w:val="single" w:sz="4" w:space="0" w:color="auto"/>
              <w:right w:val="single" w:sz="4" w:space="0" w:color="auto"/>
            </w:tcBorders>
            <w:shd w:val="clear" w:color="000000" w:fill="FDE9D9"/>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42.6</w:t>
            </w:r>
          </w:p>
        </w:tc>
        <w:tc>
          <w:tcPr>
            <w:tcW w:w="1200" w:type="dxa"/>
            <w:tcBorders>
              <w:top w:val="nil"/>
              <w:left w:val="nil"/>
              <w:bottom w:val="single" w:sz="4" w:space="0" w:color="auto"/>
              <w:right w:val="single" w:sz="4" w:space="0" w:color="auto"/>
            </w:tcBorders>
            <w:shd w:val="clear" w:color="000000" w:fill="FDE9D9"/>
            <w:noWrap/>
            <w:vAlign w:val="bottom"/>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71.3</w:t>
            </w:r>
          </w:p>
        </w:tc>
        <w:tc>
          <w:tcPr>
            <w:tcW w:w="1200" w:type="dxa"/>
            <w:tcBorders>
              <w:top w:val="nil"/>
              <w:left w:val="nil"/>
              <w:bottom w:val="single" w:sz="4" w:space="0" w:color="auto"/>
              <w:right w:val="single" w:sz="4" w:space="0" w:color="auto"/>
            </w:tcBorders>
            <w:shd w:val="clear" w:color="000000" w:fill="FDE9D9"/>
            <w:noWrap/>
            <w:vAlign w:val="bottom"/>
            <w:hideMark/>
          </w:tcPr>
          <w:p w:rsidR="007C0C14" w:rsidRPr="007C0C14" w:rsidRDefault="007C0C14" w:rsidP="007C0C14">
            <w:pPr>
              <w:spacing w:after="0"/>
              <w:jc w:val="right"/>
              <w:rPr>
                <w:rFonts w:ascii="Calibri" w:hAnsi="Calibri" w:cs="Arial"/>
                <w:color w:val="000000"/>
              </w:rPr>
            </w:pPr>
            <w:r w:rsidRPr="007C0C14">
              <w:rPr>
                <w:rFonts w:ascii="Calibri" w:hAnsi="Calibri" w:cs="Arial"/>
                <w:color w:val="000000"/>
              </w:rPr>
              <w:t>61.3</w:t>
            </w:r>
          </w:p>
        </w:tc>
      </w:tr>
    </w:tbl>
    <w:p w:rsidR="007C0C14" w:rsidRDefault="007C0C14" w:rsidP="007C0C14">
      <w:pPr>
        <w:tabs>
          <w:tab w:val="left" w:pos="3495"/>
        </w:tabs>
        <w:spacing w:after="0"/>
        <w:rPr>
          <w:b/>
          <w:noProof/>
        </w:rPr>
      </w:pPr>
    </w:p>
    <w:p w:rsidR="007C0C14" w:rsidRPr="007C0C14" w:rsidRDefault="007C0C14" w:rsidP="007C0C14">
      <w:pPr>
        <w:tabs>
          <w:tab w:val="left" w:pos="3495"/>
        </w:tabs>
        <w:spacing w:after="0"/>
        <w:rPr>
          <w:b/>
          <w:noProof/>
        </w:rPr>
      </w:pPr>
      <w:r>
        <w:rPr>
          <w:noProof/>
        </w:rPr>
        <w:drawing>
          <wp:inline distT="0" distB="0" distL="0" distR="0" wp14:anchorId="2F6D63F6" wp14:editId="3587E41F">
            <wp:extent cx="4572000" cy="31623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0C14" w:rsidRPr="007C0C14" w:rsidRDefault="007C0C14" w:rsidP="007C0C14">
      <w:pPr>
        <w:tabs>
          <w:tab w:val="left" w:pos="3495"/>
        </w:tabs>
        <w:spacing w:after="0"/>
        <w:rPr>
          <w:noProof/>
        </w:rPr>
      </w:pPr>
    </w:p>
    <w:p w:rsidR="00F00E37" w:rsidRDefault="00F00E37" w:rsidP="00F00E37">
      <w:pPr>
        <w:spacing w:after="0"/>
        <w:rPr>
          <w:b/>
          <w:noProof/>
        </w:rPr>
      </w:pPr>
    </w:p>
    <w:p w:rsidR="0083003C" w:rsidRPr="007C0C14" w:rsidRDefault="0083003C" w:rsidP="00F00E37">
      <w:pPr>
        <w:spacing w:after="0"/>
        <w:rPr>
          <w:noProof/>
        </w:rPr>
      </w:pPr>
      <w:r>
        <w:rPr>
          <w:noProof/>
        </w:rPr>
        <w:t xml:space="preserve">It is concernin that there has been no significant increase from last year’s drop in numbers of deaf pupils obtaining Highers/Advanced Highers. There continues to be a significant gap in deaf learners obtaining these qualifications compared with their hearing peers. This gap continues to be of concern. </w:t>
      </w:r>
    </w:p>
    <w:p w:rsidR="007C0C14" w:rsidRPr="00F00E37" w:rsidRDefault="007C0C14" w:rsidP="00F00E37">
      <w:pPr>
        <w:spacing w:after="0"/>
        <w:rPr>
          <w:b/>
          <w:noProof/>
        </w:rPr>
      </w:pPr>
    </w:p>
    <w:p w:rsidR="00F00E37" w:rsidRDefault="00F00E37" w:rsidP="00F00E37">
      <w:pPr>
        <w:pStyle w:val="ListParagraph"/>
        <w:numPr>
          <w:ilvl w:val="0"/>
          <w:numId w:val="29"/>
        </w:numPr>
        <w:spacing w:after="0"/>
        <w:rPr>
          <w:b/>
          <w:noProof/>
        </w:rPr>
      </w:pPr>
      <w:r>
        <w:rPr>
          <w:b/>
          <w:noProof/>
        </w:rPr>
        <w:t>School leavers destinations</w:t>
      </w:r>
    </w:p>
    <w:p w:rsidR="00E003A6" w:rsidRDefault="00E003A6" w:rsidP="00E003A6">
      <w:pPr>
        <w:spacing w:after="0"/>
        <w:rPr>
          <w:b/>
          <w:noProof/>
        </w:rPr>
      </w:pPr>
    </w:p>
    <w:p w:rsidR="00E003A6" w:rsidRDefault="00E003A6" w:rsidP="00E003A6">
      <w:pPr>
        <w:spacing w:after="0"/>
        <w:rPr>
          <w:b/>
          <w:noProof/>
        </w:rPr>
      </w:pPr>
      <w:r>
        <w:rPr>
          <w:b/>
          <w:noProof/>
        </w:rPr>
        <w:t>5.1. Numbers entering FE (initial destination)</w:t>
      </w:r>
    </w:p>
    <w:p w:rsidR="00A53ED7" w:rsidRDefault="00A53ED7" w:rsidP="00E003A6">
      <w:pPr>
        <w:spacing w:after="0"/>
        <w:rPr>
          <w:b/>
          <w:noProof/>
        </w:rPr>
      </w:pPr>
    </w:p>
    <w:tbl>
      <w:tblPr>
        <w:tblW w:w="4800" w:type="dxa"/>
        <w:tblLook w:val="04A0" w:firstRow="1" w:lastRow="0" w:firstColumn="1" w:lastColumn="0" w:noHBand="0" w:noVBand="1"/>
      </w:tblPr>
      <w:tblGrid>
        <w:gridCol w:w="1200"/>
        <w:gridCol w:w="1200"/>
        <w:gridCol w:w="1200"/>
        <w:gridCol w:w="1200"/>
      </w:tblGrid>
      <w:tr w:rsidR="00877D87" w:rsidRPr="00877D87" w:rsidTr="00877D87">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color w:val="000000"/>
              </w:rPr>
            </w:pPr>
            <w:r w:rsidRPr="00877D87">
              <w:rPr>
                <w:rFonts w:ascii="Calibri" w:hAnsi="Calibri" w:cs="Arial"/>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Deaf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No ASN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All pupils</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2009/10</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37.4</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26</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27.1</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2010/11</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42.4</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25.8</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27.1</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2011/12</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45.2</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24.9</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27</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2012/13</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48</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25.7</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28</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2013/14</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45.7</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23.5</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26.5</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2014/15</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46.1</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24.6</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27.9</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lastRenderedPageBreak/>
              <w:t>2015/16</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37.4</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23.1</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rPr>
                <w:rFonts w:ascii="Calibri" w:hAnsi="Calibri" w:cs="Arial"/>
                <w:color w:val="000000"/>
              </w:rPr>
            </w:pPr>
            <w:r w:rsidRPr="00877D87">
              <w:rPr>
                <w:rFonts w:ascii="Calibri" w:hAnsi="Calibri" w:cs="Arial"/>
                <w:color w:val="000000"/>
              </w:rPr>
              <w:t> </w:t>
            </w:r>
            <w:r>
              <w:rPr>
                <w:rFonts w:ascii="Calibri" w:hAnsi="Calibri" w:cs="Arial"/>
                <w:color w:val="000000"/>
              </w:rPr>
              <w:t>No data</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2016/17</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38.8</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22.5</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rPr>
                <w:rFonts w:ascii="Calibri" w:hAnsi="Calibri" w:cs="Arial"/>
                <w:color w:val="000000"/>
              </w:rPr>
            </w:pPr>
            <w:r w:rsidRPr="00877D87">
              <w:rPr>
                <w:rFonts w:ascii="Calibri" w:hAnsi="Calibri" w:cs="Arial"/>
                <w:color w:val="000000"/>
              </w:rPr>
              <w:t> </w:t>
            </w:r>
            <w:r>
              <w:rPr>
                <w:rFonts w:ascii="Calibri" w:hAnsi="Calibri" w:cs="Arial"/>
                <w:color w:val="000000"/>
              </w:rPr>
              <w:t>No data</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2017/18</w:t>
            </w:r>
          </w:p>
        </w:tc>
        <w:tc>
          <w:tcPr>
            <w:tcW w:w="1200" w:type="dxa"/>
            <w:tcBorders>
              <w:top w:val="nil"/>
              <w:left w:val="nil"/>
              <w:bottom w:val="single" w:sz="4" w:space="0" w:color="auto"/>
              <w:right w:val="single" w:sz="4" w:space="0" w:color="auto"/>
            </w:tcBorders>
            <w:shd w:val="clear" w:color="000000" w:fill="FDE9D9"/>
            <w:noWrap/>
            <w:vAlign w:val="bottom"/>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43.6</w:t>
            </w:r>
          </w:p>
        </w:tc>
        <w:tc>
          <w:tcPr>
            <w:tcW w:w="1200" w:type="dxa"/>
            <w:tcBorders>
              <w:top w:val="nil"/>
              <w:left w:val="nil"/>
              <w:bottom w:val="single" w:sz="4" w:space="0" w:color="auto"/>
              <w:right w:val="single" w:sz="4" w:space="0" w:color="auto"/>
            </w:tcBorders>
            <w:shd w:val="clear" w:color="000000" w:fill="FDE9D9"/>
            <w:noWrap/>
            <w:vAlign w:val="bottom"/>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21.9</w:t>
            </w:r>
          </w:p>
        </w:tc>
        <w:tc>
          <w:tcPr>
            <w:tcW w:w="1200" w:type="dxa"/>
            <w:tcBorders>
              <w:top w:val="nil"/>
              <w:left w:val="nil"/>
              <w:bottom w:val="single" w:sz="4" w:space="0" w:color="auto"/>
              <w:right w:val="single" w:sz="4" w:space="0" w:color="auto"/>
            </w:tcBorders>
            <w:shd w:val="clear" w:color="000000" w:fill="FDE9D9"/>
            <w:noWrap/>
            <w:vAlign w:val="bottom"/>
            <w:hideMark/>
          </w:tcPr>
          <w:p w:rsidR="00877D87" w:rsidRPr="00877D87" w:rsidRDefault="00877D87" w:rsidP="00877D87">
            <w:pPr>
              <w:spacing w:after="0"/>
              <w:rPr>
                <w:rFonts w:ascii="Calibri" w:hAnsi="Calibri" w:cs="Arial"/>
                <w:color w:val="000000"/>
              </w:rPr>
            </w:pPr>
            <w:r w:rsidRPr="00877D87">
              <w:rPr>
                <w:rFonts w:ascii="Calibri" w:hAnsi="Calibri" w:cs="Arial"/>
                <w:color w:val="000000"/>
              </w:rPr>
              <w:t> </w:t>
            </w:r>
            <w:r>
              <w:rPr>
                <w:rFonts w:ascii="Calibri" w:hAnsi="Calibri" w:cs="Arial"/>
                <w:color w:val="000000"/>
              </w:rPr>
              <w:t>No data</w:t>
            </w:r>
          </w:p>
        </w:tc>
      </w:tr>
    </w:tbl>
    <w:p w:rsidR="00A53ED7" w:rsidRPr="00E003A6" w:rsidRDefault="00A53ED7" w:rsidP="00E003A6">
      <w:pPr>
        <w:spacing w:after="0"/>
        <w:rPr>
          <w:b/>
          <w:noProof/>
        </w:rPr>
      </w:pPr>
    </w:p>
    <w:p w:rsidR="00F3329D" w:rsidRDefault="00F3329D" w:rsidP="003D1D35">
      <w:r>
        <w:rPr>
          <w:noProof/>
        </w:rPr>
        <w:drawing>
          <wp:inline distT="0" distB="0" distL="0" distR="0" wp14:anchorId="6CDEFCD6" wp14:editId="0BA3A49B">
            <wp:extent cx="4572000" cy="31718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01AE" w:rsidRDefault="000101AE" w:rsidP="00F3329D">
      <w:r>
        <w:t>Deaf pupils</w:t>
      </w:r>
      <w:r w:rsidR="009817CB">
        <w:t>’</w:t>
      </w:r>
      <w:r>
        <w:t xml:space="preserve"> access to college continues to increase with this setting continuing to be the preferred choice for the majority of deaf school leavers. It is important to note that as this rate increases the number of pupils with no ASN is decreasing, with this groups</w:t>
      </w:r>
      <w:r w:rsidR="009817CB">
        <w:t>’</w:t>
      </w:r>
      <w:r>
        <w:t xml:space="preserve"> most popular destination being university. </w:t>
      </w:r>
    </w:p>
    <w:p w:rsidR="00D57708" w:rsidRDefault="00877D87" w:rsidP="00F3329D">
      <w:pPr>
        <w:rPr>
          <w:b/>
        </w:rPr>
      </w:pPr>
      <w:r>
        <w:rPr>
          <w:b/>
        </w:rPr>
        <w:t>5.2</w:t>
      </w:r>
      <w:r w:rsidR="00D57708">
        <w:rPr>
          <w:b/>
        </w:rPr>
        <w:t>. Numbers entering HE (initial destination)</w:t>
      </w:r>
    </w:p>
    <w:tbl>
      <w:tblPr>
        <w:tblW w:w="4800" w:type="dxa"/>
        <w:tblLook w:val="04A0" w:firstRow="1" w:lastRow="0" w:firstColumn="1" w:lastColumn="0" w:noHBand="0" w:noVBand="1"/>
      </w:tblPr>
      <w:tblGrid>
        <w:gridCol w:w="1293"/>
        <w:gridCol w:w="1200"/>
        <w:gridCol w:w="1200"/>
        <w:gridCol w:w="1200"/>
      </w:tblGrid>
      <w:tr w:rsidR="00D57708" w:rsidRPr="00D57708" w:rsidTr="00D57708">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7708" w:rsidRPr="00D57708" w:rsidRDefault="00D57708" w:rsidP="00D57708">
            <w:pPr>
              <w:spacing w:after="0"/>
              <w:rPr>
                <w:rFonts w:ascii="Calibri" w:hAnsi="Calibri" w:cs="Arial"/>
                <w:color w:val="000000"/>
              </w:rPr>
            </w:pPr>
            <w:r w:rsidRPr="00D57708">
              <w:rPr>
                <w:rFonts w:ascii="Calibri" w:hAnsi="Calibri" w:cs="Arial"/>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Deaf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No ASN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All pupils</w:t>
            </w:r>
          </w:p>
        </w:tc>
      </w:tr>
      <w:tr w:rsidR="00D57708" w:rsidRPr="00D57708"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2009/2010</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11.1</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37.3</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35.7</w:t>
            </w:r>
          </w:p>
        </w:tc>
      </w:tr>
      <w:tr w:rsidR="00D57708" w:rsidRPr="00D57708"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2010/11</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17.4</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38.2</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35.8</w:t>
            </w:r>
          </w:p>
        </w:tc>
      </w:tr>
      <w:tr w:rsidR="00D57708" w:rsidRPr="00D57708"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2011/12</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24</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40.4</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36.8</w:t>
            </w:r>
          </w:p>
        </w:tc>
      </w:tr>
      <w:tr w:rsidR="00D57708" w:rsidRPr="00D57708"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2012/13</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20.1</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40.3</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36</w:t>
            </w:r>
          </w:p>
        </w:tc>
      </w:tr>
      <w:tr w:rsidR="00D57708" w:rsidRPr="00D57708"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2013/14</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24.7</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43.9</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39</w:t>
            </w:r>
          </w:p>
        </w:tc>
      </w:tr>
      <w:tr w:rsidR="00D57708" w:rsidRPr="00D57708"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2014/15</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22.1</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43.6</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38.2</w:t>
            </w:r>
          </w:p>
        </w:tc>
      </w:tr>
      <w:tr w:rsidR="00D57708" w:rsidRPr="00D57708"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2015/16</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36.1</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45.9</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rPr>
                <w:rFonts w:ascii="Calibri" w:hAnsi="Calibri" w:cs="Arial"/>
                <w:color w:val="000000"/>
              </w:rPr>
            </w:pPr>
            <w:r w:rsidRPr="00D57708">
              <w:rPr>
                <w:rFonts w:ascii="Calibri" w:hAnsi="Calibri" w:cs="Arial"/>
                <w:color w:val="000000"/>
              </w:rPr>
              <w:t> </w:t>
            </w:r>
            <w:r>
              <w:rPr>
                <w:rFonts w:ascii="Calibri" w:hAnsi="Calibri" w:cs="Arial"/>
                <w:color w:val="000000"/>
              </w:rPr>
              <w:t>No data</w:t>
            </w:r>
          </w:p>
        </w:tc>
      </w:tr>
      <w:tr w:rsidR="00D57708" w:rsidRPr="00D57708"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2016/17</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25.2</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47.3</w:t>
            </w:r>
          </w:p>
        </w:tc>
        <w:tc>
          <w:tcPr>
            <w:tcW w:w="1200" w:type="dxa"/>
            <w:tcBorders>
              <w:top w:val="nil"/>
              <w:left w:val="nil"/>
              <w:bottom w:val="single" w:sz="4" w:space="0" w:color="auto"/>
              <w:right w:val="single" w:sz="4" w:space="0" w:color="auto"/>
            </w:tcBorders>
            <w:shd w:val="clear" w:color="000000" w:fill="FDE9D9"/>
            <w:hideMark/>
          </w:tcPr>
          <w:p w:rsidR="00D57708" w:rsidRPr="00D57708" w:rsidRDefault="00D57708" w:rsidP="00D57708">
            <w:pPr>
              <w:spacing w:after="0"/>
              <w:rPr>
                <w:rFonts w:ascii="Calibri" w:hAnsi="Calibri" w:cs="Arial"/>
                <w:color w:val="000000"/>
              </w:rPr>
            </w:pPr>
            <w:r w:rsidRPr="00D57708">
              <w:rPr>
                <w:rFonts w:ascii="Calibri" w:hAnsi="Calibri" w:cs="Arial"/>
                <w:color w:val="000000"/>
              </w:rPr>
              <w:t> </w:t>
            </w:r>
            <w:r>
              <w:rPr>
                <w:rFonts w:ascii="Calibri" w:hAnsi="Calibri" w:cs="Arial"/>
                <w:color w:val="000000"/>
              </w:rPr>
              <w:t>No data</w:t>
            </w:r>
          </w:p>
        </w:tc>
      </w:tr>
      <w:tr w:rsidR="00D57708" w:rsidRPr="00D57708" w:rsidTr="00D57708">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57708" w:rsidRPr="00D57708" w:rsidRDefault="00D57708" w:rsidP="00D57708">
            <w:pPr>
              <w:spacing w:after="0"/>
              <w:rPr>
                <w:rFonts w:ascii="Calibri" w:hAnsi="Calibri" w:cs="Arial"/>
                <w:b/>
                <w:bCs/>
                <w:color w:val="000000"/>
              </w:rPr>
            </w:pPr>
            <w:r w:rsidRPr="00D57708">
              <w:rPr>
                <w:rFonts w:ascii="Calibri" w:hAnsi="Calibri" w:cs="Arial"/>
                <w:b/>
                <w:bCs/>
                <w:color w:val="000000"/>
              </w:rPr>
              <w:t>2017/18</w:t>
            </w:r>
          </w:p>
        </w:tc>
        <w:tc>
          <w:tcPr>
            <w:tcW w:w="1200" w:type="dxa"/>
            <w:tcBorders>
              <w:top w:val="nil"/>
              <w:left w:val="nil"/>
              <w:bottom w:val="single" w:sz="4" w:space="0" w:color="auto"/>
              <w:right w:val="single" w:sz="4" w:space="0" w:color="auto"/>
            </w:tcBorders>
            <w:shd w:val="clear" w:color="000000" w:fill="FDE9D9"/>
            <w:noWrap/>
            <w:vAlign w:val="bottom"/>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26.8</w:t>
            </w:r>
          </w:p>
        </w:tc>
        <w:tc>
          <w:tcPr>
            <w:tcW w:w="1200" w:type="dxa"/>
            <w:tcBorders>
              <w:top w:val="nil"/>
              <w:left w:val="nil"/>
              <w:bottom w:val="single" w:sz="4" w:space="0" w:color="auto"/>
              <w:right w:val="single" w:sz="4" w:space="0" w:color="auto"/>
            </w:tcBorders>
            <w:shd w:val="clear" w:color="000000" w:fill="FDE9D9"/>
            <w:noWrap/>
            <w:vAlign w:val="bottom"/>
            <w:hideMark/>
          </w:tcPr>
          <w:p w:rsidR="00D57708" w:rsidRPr="00D57708" w:rsidRDefault="00D57708" w:rsidP="00D57708">
            <w:pPr>
              <w:spacing w:after="0"/>
              <w:jc w:val="right"/>
              <w:rPr>
                <w:rFonts w:ascii="Calibri" w:hAnsi="Calibri" w:cs="Arial"/>
                <w:color w:val="000000"/>
              </w:rPr>
            </w:pPr>
            <w:r w:rsidRPr="00D57708">
              <w:rPr>
                <w:rFonts w:ascii="Calibri" w:hAnsi="Calibri" w:cs="Arial"/>
                <w:color w:val="000000"/>
              </w:rPr>
              <w:t>48.1</w:t>
            </w:r>
          </w:p>
        </w:tc>
        <w:tc>
          <w:tcPr>
            <w:tcW w:w="1200" w:type="dxa"/>
            <w:tcBorders>
              <w:top w:val="nil"/>
              <w:left w:val="nil"/>
              <w:bottom w:val="single" w:sz="4" w:space="0" w:color="auto"/>
              <w:right w:val="single" w:sz="4" w:space="0" w:color="auto"/>
            </w:tcBorders>
            <w:shd w:val="clear" w:color="000000" w:fill="FDE9D9"/>
            <w:noWrap/>
            <w:vAlign w:val="bottom"/>
            <w:hideMark/>
          </w:tcPr>
          <w:p w:rsidR="00D57708" w:rsidRPr="00D57708" w:rsidRDefault="00D57708" w:rsidP="00D57708">
            <w:pPr>
              <w:spacing w:after="0"/>
              <w:rPr>
                <w:rFonts w:ascii="Calibri" w:hAnsi="Calibri" w:cs="Arial"/>
                <w:color w:val="000000"/>
              </w:rPr>
            </w:pPr>
            <w:r w:rsidRPr="00D57708">
              <w:rPr>
                <w:rFonts w:ascii="Calibri" w:hAnsi="Calibri" w:cs="Arial"/>
                <w:color w:val="000000"/>
              </w:rPr>
              <w:t> </w:t>
            </w:r>
            <w:r>
              <w:rPr>
                <w:rFonts w:ascii="Calibri" w:hAnsi="Calibri" w:cs="Arial"/>
                <w:color w:val="000000"/>
              </w:rPr>
              <w:t>No data</w:t>
            </w:r>
          </w:p>
        </w:tc>
      </w:tr>
    </w:tbl>
    <w:p w:rsidR="00D57708" w:rsidRDefault="00D57708" w:rsidP="00F3329D">
      <w:pPr>
        <w:rPr>
          <w:b/>
        </w:rPr>
      </w:pPr>
    </w:p>
    <w:p w:rsidR="00877D87" w:rsidRPr="00877D87" w:rsidRDefault="00877D87" w:rsidP="00F3329D">
      <w:pPr>
        <w:rPr>
          <w:b/>
        </w:rPr>
      </w:pPr>
    </w:p>
    <w:p w:rsidR="00403E26" w:rsidRDefault="00403E26" w:rsidP="00F3329D">
      <w:pPr>
        <w:rPr>
          <w:b/>
        </w:rPr>
      </w:pPr>
      <w:r>
        <w:rPr>
          <w:noProof/>
        </w:rPr>
        <w:drawing>
          <wp:inline distT="0" distB="0" distL="0" distR="0" wp14:anchorId="0EA3A2DD" wp14:editId="7392C1E1">
            <wp:extent cx="4572000" cy="31623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D029F" w:rsidRDefault="00BD029F" w:rsidP="00403E26">
      <w:r>
        <w:t xml:space="preserve">There has been a slight increase in those deaf pupils entering HE in this year’s cohort. However little traction has been made to account for the significant drop in numbers entering university in the previous year. In addition to that there continues to be a steady increase in numbers of pupils with no ASN entering university. </w:t>
      </w:r>
    </w:p>
    <w:p w:rsidR="00877D87" w:rsidRPr="00877D87" w:rsidRDefault="00877D87" w:rsidP="00403E26">
      <w:pPr>
        <w:rPr>
          <w:b/>
        </w:rPr>
      </w:pPr>
      <w:r>
        <w:rPr>
          <w:b/>
        </w:rPr>
        <w:t>5.3. Numbers moving into employment</w:t>
      </w:r>
    </w:p>
    <w:tbl>
      <w:tblPr>
        <w:tblW w:w="4800" w:type="dxa"/>
        <w:tblLook w:val="04A0" w:firstRow="1" w:lastRow="0" w:firstColumn="1" w:lastColumn="0" w:noHBand="0" w:noVBand="1"/>
      </w:tblPr>
      <w:tblGrid>
        <w:gridCol w:w="1200"/>
        <w:gridCol w:w="1200"/>
        <w:gridCol w:w="1200"/>
        <w:gridCol w:w="1200"/>
      </w:tblGrid>
      <w:tr w:rsidR="00877D87" w:rsidRPr="00877D87" w:rsidTr="00877D87">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color w:val="000000"/>
              </w:rPr>
            </w:pPr>
            <w:r w:rsidRPr="00877D87">
              <w:rPr>
                <w:rFonts w:ascii="Calibri" w:hAnsi="Calibri" w:cs="Arial"/>
                <w:color w:val="000000"/>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Deaf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No ASN pupils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All pupils</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2009/10</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5.6</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18.9</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18.5</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2010/11</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19.6</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19.7</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19.3</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2011/12</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10.3</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20.4</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19.6</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2012/13</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12.3</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21</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20.1</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2013/14</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12.4</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22.1</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21.1</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2014/15</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13.7</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22.1</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21.2</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2015/16</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15.5</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22.8</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rPr>
                <w:rFonts w:ascii="Calibri" w:hAnsi="Calibri" w:cs="Arial"/>
                <w:color w:val="000000"/>
              </w:rPr>
            </w:pPr>
            <w:r w:rsidRPr="00877D87">
              <w:rPr>
                <w:rFonts w:ascii="Calibri" w:hAnsi="Calibri" w:cs="Arial"/>
                <w:color w:val="000000"/>
              </w:rPr>
              <w:t> </w:t>
            </w:r>
            <w:r w:rsidR="008614E4">
              <w:rPr>
                <w:rFonts w:ascii="Calibri" w:hAnsi="Calibri" w:cs="Arial"/>
                <w:color w:val="000000"/>
              </w:rPr>
              <w:t>No data</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2016/17</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14.7</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22.5</w:t>
            </w:r>
          </w:p>
        </w:tc>
        <w:tc>
          <w:tcPr>
            <w:tcW w:w="1200" w:type="dxa"/>
            <w:tcBorders>
              <w:top w:val="nil"/>
              <w:left w:val="nil"/>
              <w:bottom w:val="single" w:sz="4" w:space="0" w:color="auto"/>
              <w:right w:val="single" w:sz="4" w:space="0" w:color="auto"/>
            </w:tcBorders>
            <w:shd w:val="clear" w:color="000000" w:fill="FDE9D9"/>
            <w:hideMark/>
          </w:tcPr>
          <w:p w:rsidR="00877D87" w:rsidRPr="00877D87" w:rsidRDefault="00877D87" w:rsidP="00877D87">
            <w:pPr>
              <w:spacing w:after="0"/>
              <w:rPr>
                <w:rFonts w:ascii="Calibri" w:hAnsi="Calibri" w:cs="Arial"/>
                <w:color w:val="000000"/>
              </w:rPr>
            </w:pPr>
            <w:r w:rsidRPr="00877D87">
              <w:rPr>
                <w:rFonts w:ascii="Calibri" w:hAnsi="Calibri" w:cs="Arial"/>
                <w:color w:val="000000"/>
              </w:rPr>
              <w:t> </w:t>
            </w:r>
            <w:r w:rsidR="008614E4">
              <w:rPr>
                <w:rFonts w:ascii="Calibri" w:hAnsi="Calibri" w:cs="Arial"/>
                <w:color w:val="000000"/>
              </w:rPr>
              <w:t>No data</w:t>
            </w:r>
          </w:p>
        </w:tc>
      </w:tr>
      <w:tr w:rsidR="00877D87" w:rsidRPr="00877D87" w:rsidTr="00877D87">
        <w:trPr>
          <w:trHeight w:val="31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77D87" w:rsidRPr="00877D87" w:rsidRDefault="00877D87" w:rsidP="00877D87">
            <w:pPr>
              <w:spacing w:after="0"/>
              <w:rPr>
                <w:rFonts w:ascii="Calibri" w:hAnsi="Calibri" w:cs="Arial"/>
                <w:b/>
                <w:bCs/>
                <w:color w:val="000000"/>
              </w:rPr>
            </w:pPr>
            <w:r w:rsidRPr="00877D87">
              <w:rPr>
                <w:rFonts w:ascii="Calibri" w:hAnsi="Calibri" w:cs="Arial"/>
                <w:b/>
                <w:bCs/>
                <w:color w:val="000000"/>
              </w:rPr>
              <w:t>2017/18</w:t>
            </w:r>
          </w:p>
        </w:tc>
        <w:tc>
          <w:tcPr>
            <w:tcW w:w="1200" w:type="dxa"/>
            <w:tcBorders>
              <w:top w:val="nil"/>
              <w:left w:val="nil"/>
              <w:bottom w:val="single" w:sz="4" w:space="0" w:color="auto"/>
              <w:right w:val="single" w:sz="4" w:space="0" w:color="auto"/>
            </w:tcBorders>
            <w:shd w:val="clear" w:color="000000" w:fill="FDE9D9"/>
            <w:noWrap/>
            <w:vAlign w:val="bottom"/>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13.4</w:t>
            </w:r>
          </w:p>
        </w:tc>
        <w:tc>
          <w:tcPr>
            <w:tcW w:w="1200" w:type="dxa"/>
            <w:tcBorders>
              <w:top w:val="nil"/>
              <w:left w:val="nil"/>
              <w:bottom w:val="single" w:sz="4" w:space="0" w:color="auto"/>
              <w:right w:val="single" w:sz="4" w:space="0" w:color="auto"/>
            </w:tcBorders>
            <w:shd w:val="clear" w:color="000000" w:fill="FDE9D9"/>
            <w:noWrap/>
            <w:vAlign w:val="bottom"/>
            <w:hideMark/>
          </w:tcPr>
          <w:p w:rsidR="00877D87" w:rsidRPr="00877D87" w:rsidRDefault="00877D87" w:rsidP="00877D87">
            <w:pPr>
              <w:spacing w:after="0"/>
              <w:jc w:val="right"/>
              <w:rPr>
                <w:rFonts w:ascii="Calibri" w:hAnsi="Calibri" w:cs="Arial"/>
                <w:color w:val="000000"/>
              </w:rPr>
            </w:pPr>
            <w:r w:rsidRPr="00877D87">
              <w:rPr>
                <w:rFonts w:ascii="Calibri" w:hAnsi="Calibri" w:cs="Arial"/>
                <w:color w:val="000000"/>
              </w:rPr>
              <w:t>23.3</w:t>
            </w:r>
          </w:p>
        </w:tc>
        <w:tc>
          <w:tcPr>
            <w:tcW w:w="1200" w:type="dxa"/>
            <w:tcBorders>
              <w:top w:val="nil"/>
              <w:left w:val="nil"/>
              <w:bottom w:val="single" w:sz="4" w:space="0" w:color="auto"/>
              <w:right w:val="single" w:sz="4" w:space="0" w:color="auto"/>
            </w:tcBorders>
            <w:shd w:val="clear" w:color="000000" w:fill="FDE9D9"/>
            <w:noWrap/>
            <w:vAlign w:val="bottom"/>
            <w:hideMark/>
          </w:tcPr>
          <w:p w:rsidR="00877D87" w:rsidRPr="00877D87" w:rsidRDefault="00877D87" w:rsidP="00877D87">
            <w:pPr>
              <w:spacing w:after="0"/>
              <w:rPr>
                <w:rFonts w:ascii="Calibri" w:hAnsi="Calibri" w:cs="Arial"/>
                <w:color w:val="000000"/>
              </w:rPr>
            </w:pPr>
            <w:r w:rsidRPr="00877D87">
              <w:rPr>
                <w:rFonts w:ascii="Calibri" w:hAnsi="Calibri" w:cs="Arial"/>
                <w:color w:val="000000"/>
              </w:rPr>
              <w:t> </w:t>
            </w:r>
            <w:r w:rsidR="008614E4">
              <w:rPr>
                <w:rFonts w:ascii="Calibri" w:hAnsi="Calibri" w:cs="Arial"/>
                <w:color w:val="000000"/>
              </w:rPr>
              <w:t>No data</w:t>
            </w:r>
          </w:p>
        </w:tc>
      </w:tr>
    </w:tbl>
    <w:p w:rsidR="00877D87" w:rsidRDefault="00877D87" w:rsidP="00403E26"/>
    <w:p w:rsidR="001D1A96" w:rsidRDefault="00877D87" w:rsidP="00403E26">
      <w:r>
        <w:rPr>
          <w:noProof/>
        </w:rPr>
        <w:drawing>
          <wp:inline distT="0" distB="0" distL="0" distR="0" wp14:anchorId="51124A40" wp14:editId="25BEE23C">
            <wp:extent cx="4572000" cy="31051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D1A96" w:rsidRDefault="00FD172D" w:rsidP="001D1A96">
      <w:r>
        <w:t xml:space="preserve">There has been a slight drop in numbers of deaf school leavers entering employment. This is of concern as those pupils with no ASN have seen an increase. As the graph illustrates, there continues to be a wide gap between the number of deaf pupils obtaining employment after school and the number of those with no ASN who do. </w:t>
      </w:r>
    </w:p>
    <w:p w:rsidR="001D1A96" w:rsidRDefault="001D1A96" w:rsidP="001D1A96"/>
    <w:p w:rsidR="001D1A96" w:rsidRDefault="001D1A96" w:rsidP="001D1A96"/>
    <w:p w:rsidR="00FD172D" w:rsidRDefault="00FD172D" w:rsidP="001D1A96"/>
    <w:p w:rsidR="00FD172D" w:rsidRDefault="00FD172D" w:rsidP="001D1A96"/>
    <w:p w:rsidR="00FD172D" w:rsidRDefault="00FD172D" w:rsidP="00FD172D">
      <w:pPr>
        <w:spacing w:after="0"/>
        <w:rPr>
          <w:color w:val="7F7F7F" w:themeColor="text1" w:themeTint="80"/>
        </w:rPr>
      </w:pPr>
    </w:p>
    <w:p w:rsidR="00FD172D" w:rsidRDefault="00FD172D" w:rsidP="00FD172D">
      <w:pPr>
        <w:spacing w:after="0"/>
        <w:rPr>
          <w:color w:val="7F7F7F" w:themeColor="text1" w:themeTint="80"/>
        </w:rPr>
      </w:pPr>
    </w:p>
    <w:p w:rsidR="00FD172D" w:rsidRDefault="00FD172D" w:rsidP="00FD172D">
      <w:pPr>
        <w:spacing w:after="0"/>
        <w:rPr>
          <w:color w:val="7F7F7F" w:themeColor="text1" w:themeTint="80"/>
        </w:rPr>
      </w:pPr>
    </w:p>
    <w:p w:rsidR="00FD172D" w:rsidRDefault="00FD172D" w:rsidP="00FD172D">
      <w:pPr>
        <w:spacing w:after="0"/>
        <w:rPr>
          <w:color w:val="7F7F7F" w:themeColor="text1" w:themeTint="80"/>
        </w:rPr>
      </w:pPr>
    </w:p>
    <w:p w:rsidR="00FD172D" w:rsidRDefault="00FD172D" w:rsidP="00FD172D">
      <w:pPr>
        <w:spacing w:after="0"/>
        <w:rPr>
          <w:color w:val="7F7F7F" w:themeColor="text1" w:themeTint="80"/>
        </w:rPr>
      </w:pPr>
    </w:p>
    <w:p w:rsidR="00FD172D" w:rsidRDefault="00FD172D" w:rsidP="00FD172D">
      <w:pPr>
        <w:spacing w:after="0"/>
        <w:rPr>
          <w:color w:val="7F7F7F" w:themeColor="text1" w:themeTint="80"/>
        </w:rPr>
      </w:pPr>
    </w:p>
    <w:p w:rsidR="00FD172D" w:rsidRDefault="00FD172D" w:rsidP="00FD172D">
      <w:pPr>
        <w:spacing w:after="0"/>
        <w:rPr>
          <w:color w:val="7F7F7F" w:themeColor="text1" w:themeTint="80"/>
        </w:rPr>
      </w:pPr>
    </w:p>
    <w:p w:rsidR="00FD172D" w:rsidRDefault="00FD172D" w:rsidP="00FD172D">
      <w:pPr>
        <w:spacing w:after="0"/>
        <w:rPr>
          <w:color w:val="7F7F7F" w:themeColor="text1" w:themeTint="80"/>
        </w:rPr>
      </w:pPr>
    </w:p>
    <w:p w:rsidR="00FD172D" w:rsidRDefault="00FD172D" w:rsidP="00FD172D">
      <w:pPr>
        <w:spacing w:after="0"/>
        <w:rPr>
          <w:color w:val="7F7F7F" w:themeColor="text1" w:themeTint="80"/>
        </w:rPr>
      </w:pPr>
    </w:p>
    <w:p w:rsidR="00FD172D" w:rsidRDefault="00FD172D" w:rsidP="00FD172D">
      <w:pPr>
        <w:spacing w:after="0"/>
        <w:rPr>
          <w:color w:val="7F7F7F" w:themeColor="text1" w:themeTint="80"/>
        </w:rPr>
      </w:pPr>
    </w:p>
    <w:p w:rsidR="00FD172D" w:rsidRDefault="00FD172D" w:rsidP="00FD172D">
      <w:pPr>
        <w:spacing w:after="0"/>
        <w:rPr>
          <w:color w:val="7F7F7F" w:themeColor="text1" w:themeTint="80"/>
        </w:rPr>
      </w:pPr>
    </w:p>
    <w:p w:rsidR="00FD172D" w:rsidRDefault="00FD172D" w:rsidP="00FD172D">
      <w:pPr>
        <w:spacing w:after="0"/>
        <w:rPr>
          <w:color w:val="7F7F7F" w:themeColor="text1" w:themeTint="80"/>
        </w:rPr>
      </w:pPr>
    </w:p>
    <w:p w:rsidR="00FD172D" w:rsidRDefault="00FD172D" w:rsidP="00FD172D">
      <w:pPr>
        <w:spacing w:after="0"/>
        <w:rPr>
          <w:color w:val="7F7F7F" w:themeColor="text1" w:themeTint="80"/>
        </w:rPr>
      </w:pPr>
    </w:p>
    <w:p w:rsidR="00FD172D" w:rsidRDefault="00FD172D" w:rsidP="00FD172D">
      <w:pPr>
        <w:spacing w:after="0"/>
        <w:rPr>
          <w:color w:val="7F7F7F" w:themeColor="text1" w:themeTint="80"/>
        </w:rPr>
      </w:pPr>
    </w:p>
    <w:p w:rsidR="00FD172D" w:rsidRDefault="00FD172D" w:rsidP="00FD172D">
      <w:pPr>
        <w:spacing w:after="0"/>
        <w:rPr>
          <w:color w:val="7F7F7F" w:themeColor="text1" w:themeTint="80"/>
        </w:rPr>
      </w:pPr>
    </w:p>
    <w:p w:rsidR="00FD172D" w:rsidRPr="00FD172D" w:rsidRDefault="00FD172D" w:rsidP="00FD172D">
      <w:pPr>
        <w:spacing w:after="0"/>
        <w:rPr>
          <w:color w:val="7F7F7F" w:themeColor="text1" w:themeTint="80"/>
        </w:rPr>
      </w:pPr>
      <w:r w:rsidRPr="00FD172D">
        <w:rPr>
          <w:color w:val="7F7F7F" w:themeColor="text1" w:themeTint="80"/>
        </w:rPr>
        <w:t>For more information contact:</w:t>
      </w:r>
    </w:p>
    <w:p w:rsidR="00FD172D" w:rsidRPr="00FD172D" w:rsidRDefault="00FD172D" w:rsidP="00FD172D">
      <w:pPr>
        <w:spacing w:after="0"/>
        <w:rPr>
          <w:color w:val="7F7F7F" w:themeColor="text1" w:themeTint="80"/>
        </w:rPr>
      </w:pPr>
      <w:r w:rsidRPr="00FD172D">
        <w:rPr>
          <w:color w:val="7F7F7F" w:themeColor="text1" w:themeTint="80"/>
        </w:rPr>
        <w:t>Lois Drake, Policy and Campaigns Officer</w:t>
      </w:r>
    </w:p>
    <w:p w:rsidR="00FD172D" w:rsidRPr="00FD172D" w:rsidRDefault="00C80837" w:rsidP="00FD172D">
      <w:pPr>
        <w:spacing w:after="0"/>
        <w:rPr>
          <w:color w:val="7F7F7F" w:themeColor="text1" w:themeTint="80"/>
        </w:rPr>
      </w:pPr>
      <w:hyperlink r:id="rId15" w:history="1">
        <w:r w:rsidR="00FD172D" w:rsidRPr="00FD172D">
          <w:rPr>
            <w:rStyle w:val="Hyperlink"/>
            <w:color w:val="7F7F7F" w:themeColor="text1" w:themeTint="80"/>
          </w:rPr>
          <w:t>Lois.drake@ndcs.org.uk</w:t>
        </w:r>
      </w:hyperlink>
    </w:p>
    <w:p w:rsidR="00FD172D" w:rsidRPr="00FD172D" w:rsidRDefault="00FD172D" w:rsidP="00FD172D">
      <w:pPr>
        <w:spacing w:after="0"/>
        <w:rPr>
          <w:color w:val="7F7F7F" w:themeColor="text1" w:themeTint="80"/>
        </w:rPr>
      </w:pPr>
      <w:r w:rsidRPr="00FD172D">
        <w:rPr>
          <w:color w:val="7F7F7F" w:themeColor="text1" w:themeTint="80"/>
        </w:rPr>
        <w:t>0141 354 7859</w:t>
      </w:r>
    </w:p>
    <w:sectPr w:rsidR="00FD172D" w:rsidRPr="00FD172D" w:rsidSect="009312EE">
      <w:footerReference w:type="first" r:id="rId16"/>
      <w:pgSz w:w="11907" w:h="16840" w:code="9"/>
      <w:pgMar w:top="1134" w:right="1134"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E37" w:rsidRDefault="00F00E37">
      <w:r>
        <w:separator/>
      </w:r>
    </w:p>
  </w:endnote>
  <w:endnote w:type="continuationSeparator" w:id="0">
    <w:p w:rsidR="00F00E37" w:rsidRDefault="00F0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EE9" w:rsidRDefault="005F6EE9">
    <w:pPr>
      <w:pStyle w:val="Footer"/>
    </w:pPr>
    <w:r>
      <w:t>Footer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E37" w:rsidRDefault="00F00E37">
      <w:r>
        <w:separator/>
      </w:r>
    </w:p>
  </w:footnote>
  <w:footnote w:type="continuationSeparator" w:id="0">
    <w:p w:rsidR="00F00E37" w:rsidRDefault="00F00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2A89DB6"/>
    <w:lvl w:ilvl="0">
      <w:start w:val="1"/>
      <w:numFmt w:val="decimal"/>
      <w:lvlText w:val="%1."/>
      <w:lvlJc w:val="left"/>
      <w:pPr>
        <w:tabs>
          <w:tab w:val="num" w:pos="926"/>
        </w:tabs>
        <w:ind w:left="926" w:hanging="360"/>
      </w:pPr>
    </w:lvl>
  </w:abstractNum>
  <w:abstractNum w:abstractNumId="3">
    <w:nsid w:val="FFFFFF7F"/>
    <w:multiLevelType w:val="singleLevel"/>
    <w:tmpl w:val="8BB05182"/>
    <w:lvl w:ilvl="0">
      <w:start w:val="1"/>
      <w:numFmt w:val="decimal"/>
      <w:lvlText w:val="%1."/>
      <w:lvlJc w:val="left"/>
      <w:pPr>
        <w:tabs>
          <w:tab w:val="num" w:pos="643"/>
        </w:tabs>
        <w:ind w:left="643" w:hanging="360"/>
      </w:pPr>
    </w:lvl>
  </w:abstractNum>
  <w:abstractNum w:abstractNumId="4">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8E6BC2"/>
    <w:lvl w:ilvl="0">
      <w:start w:val="1"/>
      <w:numFmt w:val="decimal"/>
      <w:lvlText w:val="%1."/>
      <w:lvlJc w:val="left"/>
      <w:pPr>
        <w:tabs>
          <w:tab w:val="num" w:pos="360"/>
        </w:tabs>
        <w:ind w:left="360" w:hanging="360"/>
      </w:pPr>
    </w:lvl>
  </w:abstractNum>
  <w:abstractNum w:abstractNumId="9">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0453134F"/>
    <w:multiLevelType w:val="multilevel"/>
    <w:tmpl w:val="BFE64B02"/>
    <w:numStyleLink w:val="NDCSHeadingsandNumbers"/>
  </w:abstractNum>
  <w:abstractNum w:abstractNumId="13">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0A87A9B"/>
    <w:multiLevelType w:val="hybridMultilevel"/>
    <w:tmpl w:val="A134B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3C3CA5"/>
    <w:multiLevelType w:val="hybridMultilevel"/>
    <w:tmpl w:val="7F1A8E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CD80520"/>
    <w:multiLevelType w:val="hybridMultilevel"/>
    <w:tmpl w:val="DEF2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1A04BC"/>
    <w:multiLevelType w:val="hybridMultilevel"/>
    <w:tmpl w:val="BB80D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267E91"/>
    <w:multiLevelType w:val="multilevel"/>
    <w:tmpl w:val="BFE64B02"/>
    <w:numStyleLink w:val="NDCSHeadingsandNumbers"/>
  </w:abstractNum>
  <w:abstractNum w:abstractNumId="22">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CE44E1C"/>
    <w:multiLevelType w:val="multilevel"/>
    <w:tmpl w:val="C2385ED0"/>
    <w:numStyleLink w:val="NDCSAppendixHeadings"/>
  </w:abstractNum>
  <w:abstractNum w:abstractNumId="24">
    <w:nsid w:val="65AD57D0"/>
    <w:multiLevelType w:val="multilevel"/>
    <w:tmpl w:val="BFE64B02"/>
    <w:numStyleLink w:val="NDCSHeadingsandNumbers"/>
  </w:abstractNum>
  <w:abstractNum w:abstractNumId="25">
    <w:nsid w:val="6B9A504E"/>
    <w:multiLevelType w:val="multilevel"/>
    <w:tmpl w:val="BFE64B02"/>
    <w:numStyleLink w:val="NDCSHeadingsandNumbers"/>
  </w:abstractNum>
  <w:abstractNum w:abstractNumId="26">
    <w:nsid w:val="70C21D1E"/>
    <w:multiLevelType w:val="multilevel"/>
    <w:tmpl w:val="7354CCA8"/>
    <w:numStyleLink w:val="NDCSBullets"/>
  </w:abstractNum>
  <w:abstractNum w:abstractNumId="27">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40E0E06"/>
    <w:multiLevelType w:val="hybridMultilevel"/>
    <w:tmpl w:val="7B36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8"/>
  </w:num>
  <w:num w:numId="14">
    <w:abstractNumId w:val="8"/>
    <w:lvlOverride w:ilvl="0">
      <w:startOverride w:val="1"/>
    </w:lvlOverride>
  </w:num>
  <w:num w:numId="15">
    <w:abstractNumId w:val="13"/>
  </w:num>
  <w:num w:numId="16">
    <w:abstractNumId w:val="24"/>
  </w:num>
  <w:num w:numId="17">
    <w:abstractNumId w:val="21"/>
  </w:num>
  <w:num w:numId="18">
    <w:abstractNumId w:val="25"/>
  </w:num>
  <w:num w:numId="19">
    <w:abstractNumId w:val="2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2"/>
  </w:num>
  <w:num w:numId="23">
    <w:abstractNumId w:val="23"/>
  </w:num>
  <w:num w:numId="24">
    <w:abstractNumId w:val="27"/>
  </w:num>
  <w:num w:numId="25">
    <w:abstractNumId w:val="19"/>
  </w:num>
  <w:num w:numId="26">
    <w:abstractNumId w:val="18"/>
  </w:num>
  <w:num w:numId="27">
    <w:abstractNumId w:val="11"/>
  </w:num>
  <w:num w:numId="28">
    <w:abstractNumId w:val="26"/>
  </w:num>
  <w:num w:numId="29">
    <w:abstractNumId w:val="15"/>
  </w:num>
  <w:num w:numId="30">
    <w:abstractNumId w:val="29"/>
  </w:num>
  <w:num w:numId="31">
    <w:abstractNumId w:val="14"/>
  </w:num>
  <w:num w:numId="32">
    <w:abstractNumId w:val="1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8193">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37"/>
    <w:rsid w:val="000101AE"/>
    <w:rsid w:val="00017665"/>
    <w:rsid w:val="00044CD3"/>
    <w:rsid w:val="000B1D0B"/>
    <w:rsid w:val="000E62D2"/>
    <w:rsid w:val="000F00B6"/>
    <w:rsid w:val="00174207"/>
    <w:rsid w:val="00195CA8"/>
    <w:rsid w:val="001D1A96"/>
    <w:rsid w:val="00231AA1"/>
    <w:rsid w:val="00251EF9"/>
    <w:rsid w:val="00256881"/>
    <w:rsid w:val="00267A44"/>
    <w:rsid w:val="002F203F"/>
    <w:rsid w:val="003D1D35"/>
    <w:rsid w:val="003E60A8"/>
    <w:rsid w:val="003F249C"/>
    <w:rsid w:val="00403E26"/>
    <w:rsid w:val="004106DA"/>
    <w:rsid w:val="00442FD3"/>
    <w:rsid w:val="00466789"/>
    <w:rsid w:val="00483EB6"/>
    <w:rsid w:val="00490730"/>
    <w:rsid w:val="004B550F"/>
    <w:rsid w:val="004E1F16"/>
    <w:rsid w:val="005479FE"/>
    <w:rsid w:val="005717C4"/>
    <w:rsid w:val="005B0661"/>
    <w:rsid w:val="005F6EE9"/>
    <w:rsid w:val="00654EEB"/>
    <w:rsid w:val="00682A63"/>
    <w:rsid w:val="006C43A5"/>
    <w:rsid w:val="00737FB5"/>
    <w:rsid w:val="00753ADD"/>
    <w:rsid w:val="007A30C6"/>
    <w:rsid w:val="007B5FF8"/>
    <w:rsid w:val="007C0C14"/>
    <w:rsid w:val="007F2A15"/>
    <w:rsid w:val="0083003C"/>
    <w:rsid w:val="008512C5"/>
    <w:rsid w:val="008614E4"/>
    <w:rsid w:val="00877D87"/>
    <w:rsid w:val="00904ACE"/>
    <w:rsid w:val="009312EE"/>
    <w:rsid w:val="00931BD2"/>
    <w:rsid w:val="00935AE4"/>
    <w:rsid w:val="009817CB"/>
    <w:rsid w:val="009E0DBB"/>
    <w:rsid w:val="00A5016D"/>
    <w:rsid w:val="00A53ED7"/>
    <w:rsid w:val="00AC4F70"/>
    <w:rsid w:val="00AD4035"/>
    <w:rsid w:val="00B222B9"/>
    <w:rsid w:val="00BA2633"/>
    <w:rsid w:val="00BB7B69"/>
    <w:rsid w:val="00BD029F"/>
    <w:rsid w:val="00BE2223"/>
    <w:rsid w:val="00C36D6B"/>
    <w:rsid w:val="00C80837"/>
    <w:rsid w:val="00C932C0"/>
    <w:rsid w:val="00CB03C8"/>
    <w:rsid w:val="00CC6876"/>
    <w:rsid w:val="00D13B0A"/>
    <w:rsid w:val="00D168B2"/>
    <w:rsid w:val="00D57708"/>
    <w:rsid w:val="00D83ACF"/>
    <w:rsid w:val="00D95EB9"/>
    <w:rsid w:val="00DE49F4"/>
    <w:rsid w:val="00E003A6"/>
    <w:rsid w:val="00E40C99"/>
    <w:rsid w:val="00EB781D"/>
    <w:rsid w:val="00F00E37"/>
    <w:rsid w:val="00F11C4E"/>
    <w:rsid w:val="00F3329D"/>
    <w:rsid w:val="00FC6344"/>
    <w:rsid w:val="00FD172D"/>
    <w:rsid w:val="00FD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573a9"/>
    </o:shapedefaults>
    <o:shapelayout v:ext="edit">
      <o:idmap v:ext="edit" data="1"/>
    </o:shapelayout>
  </w:shapeDefaults>
  <w:decimalSymbol w:val="."/>
  <w:listSeparator w:val=","/>
  <w15:chartTrackingRefBased/>
  <w15:docId w15:val="{1874AB6C-7064-4419-951B-AC1619D0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1">
    <w:lsdException w:name="Normal" w:qFormat="1"/>
    <w:lsdException w:name="heading 1" w:uiPriority="2" w:qFormat="1"/>
    <w:lsdException w:name="heading 2" w:uiPriority="3" w:qFormat="1"/>
    <w:lsdException w:name="heading 3" w:uiPriority="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E37"/>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next w:val="Normal"/>
    <w:uiPriority w:val="3"/>
    <w:qFormat/>
    <w:rsid w:val="002F203F"/>
    <w:pPr>
      <w:outlineLvl w:val="1"/>
    </w:pPr>
    <w:rPr>
      <w:rFonts w:asciiTheme="majorHAnsi" w:hAnsiTheme="majorHAnsi" w:cs="Arial"/>
      <w:b/>
      <w:bCs/>
      <w:iCs/>
      <w:kern w:val="28"/>
      <w:szCs w:val="28"/>
      <w:lang w:eastAsia="en-US"/>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szCs w:val="22"/>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lang w:eastAsia="en-US"/>
    </w:rPr>
  </w:style>
  <w:style w:type="paragraph" w:styleId="Header">
    <w:name w:val="header"/>
    <w:basedOn w:val="Normal"/>
    <w:semiHidden/>
    <w:rsid w:val="002F203F"/>
    <w:pPr>
      <w:tabs>
        <w:tab w:val="center" w:pos="4536"/>
        <w:tab w:val="right" w:pos="9072"/>
      </w:tabs>
      <w:spacing w:after="0"/>
    </w:pPr>
    <w:rPr>
      <w:sz w:val="20"/>
    </w:rPr>
  </w:style>
  <w:style w:type="character" w:styleId="Hyperlink">
    <w:name w:val="Hyperlink"/>
    <w:basedOn w:val="DefaultParagraphFont"/>
    <w:uiPriority w:val="99"/>
    <w:semiHidden/>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semiHidden/>
    <w:rsid w:val="002F203F"/>
    <w:pPr>
      <w:tabs>
        <w:tab w:val="center" w:pos="4678"/>
        <w:tab w:val="right" w:pos="9356"/>
      </w:tabs>
      <w:spacing w:after="0"/>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DCSTableDefault">
    <w:name w:val="NDCS Table Default"/>
    <w:basedOn w:val="TableNormal"/>
    <w:uiPriority w:val="99"/>
    <w:rsid w:val="00A5016D"/>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8" w:type="dxa"/>
        <w:bottom w:w="28" w:type="dxa"/>
        <w:right w:w="10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spacing w:after="0"/>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pPr>
      <w:spacing w:after="0"/>
    </w:pPr>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pPr>
      <w:spacing w:after="0"/>
    </w:pPr>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pPr>
      <w:spacing w:after="0"/>
    </w:pPr>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3F249C"/>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pPr>
      <w:spacing w:after="0"/>
    </w:pPr>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pPr>
      <w:spacing w:after="0"/>
    </w:pPr>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spacing w:after="0"/>
      <w:ind w:left="480" w:hanging="240"/>
    </w:pPr>
  </w:style>
  <w:style w:type="paragraph" w:styleId="Index3">
    <w:name w:val="index 3"/>
    <w:basedOn w:val="Normal"/>
    <w:next w:val="Normal"/>
    <w:autoRedefine/>
    <w:semiHidden/>
    <w:rsid w:val="003F249C"/>
    <w:pPr>
      <w:spacing w:after="0"/>
      <w:ind w:left="720" w:hanging="240"/>
    </w:pPr>
  </w:style>
  <w:style w:type="paragraph" w:styleId="Index4">
    <w:name w:val="index 4"/>
    <w:basedOn w:val="Normal"/>
    <w:next w:val="Normal"/>
    <w:autoRedefine/>
    <w:semiHidden/>
    <w:rsid w:val="003F249C"/>
    <w:pPr>
      <w:spacing w:after="0"/>
      <w:ind w:left="960" w:hanging="240"/>
    </w:pPr>
  </w:style>
  <w:style w:type="paragraph" w:styleId="Index5">
    <w:name w:val="index 5"/>
    <w:basedOn w:val="Normal"/>
    <w:next w:val="Normal"/>
    <w:autoRedefine/>
    <w:semiHidden/>
    <w:rsid w:val="003F249C"/>
    <w:pPr>
      <w:spacing w:after="0"/>
      <w:ind w:left="1200" w:hanging="240"/>
    </w:pPr>
  </w:style>
  <w:style w:type="paragraph" w:styleId="Index6">
    <w:name w:val="index 6"/>
    <w:basedOn w:val="Normal"/>
    <w:next w:val="Normal"/>
    <w:autoRedefine/>
    <w:semiHidden/>
    <w:rsid w:val="003F249C"/>
    <w:pPr>
      <w:spacing w:after="0"/>
      <w:ind w:left="1440" w:hanging="240"/>
    </w:pPr>
  </w:style>
  <w:style w:type="paragraph" w:styleId="Index7">
    <w:name w:val="index 7"/>
    <w:basedOn w:val="Normal"/>
    <w:next w:val="Normal"/>
    <w:autoRedefine/>
    <w:semiHidden/>
    <w:rsid w:val="003F249C"/>
    <w:pPr>
      <w:spacing w:after="0"/>
      <w:ind w:left="1680" w:hanging="240"/>
    </w:pPr>
  </w:style>
  <w:style w:type="paragraph" w:styleId="Index8">
    <w:name w:val="index 8"/>
    <w:basedOn w:val="Normal"/>
    <w:next w:val="Normal"/>
    <w:autoRedefine/>
    <w:semiHidden/>
    <w:rsid w:val="003F249C"/>
    <w:pPr>
      <w:spacing w:after="0"/>
      <w:ind w:left="1920" w:hanging="240"/>
    </w:pPr>
  </w:style>
  <w:style w:type="paragraph" w:styleId="Index9">
    <w:name w:val="index 9"/>
    <w:basedOn w:val="Normal"/>
    <w:next w:val="Normal"/>
    <w:autoRedefine/>
    <w:semiHidden/>
    <w:rsid w:val="003F249C"/>
    <w:pPr>
      <w:spacing w:after="0"/>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basedOn w:val="Normal"/>
    <w:uiPriority w:val="34"/>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pPr>
      <w:spacing w:after="0"/>
    </w:pPr>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pPr>
      <w:spacing w:after="0"/>
    </w:pPr>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spacing w:after="0"/>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spacing w:after="0"/>
      <w:ind w:left="240" w:hanging="240"/>
    </w:pPr>
  </w:style>
  <w:style w:type="paragraph" w:styleId="TableofFigures">
    <w:name w:val="table of figures"/>
    <w:basedOn w:val="Normal"/>
    <w:next w:val="Normal"/>
    <w:semiHidden/>
    <w:rsid w:val="003F249C"/>
    <w:pPr>
      <w:spacing w:after="0"/>
    </w:pPr>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semiHidden/>
    <w:rsid w:val="005F6EE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48573">
      <w:bodyDiv w:val="1"/>
      <w:marLeft w:val="0"/>
      <w:marRight w:val="0"/>
      <w:marTop w:val="0"/>
      <w:marBottom w:val="0"/>
      <w:divBdr>
        <w:top w:val="none" w:sz="0" w:space="0" w:color="auto"/>
        <w:left w:val="none" w:sz="0" w:space="0" w:color="auto"/>
        <w:bottom w:val="none" w:sz="0" w:space="0" w:color="auto"/>
        <w:right w:val="none" w:sz="0" w:space="0" w:color="auto"/>
      </w:divBdr>
    </w:div>
    <w:div w:id="228620244">
      <w:bodyDiv w:val="1"/>
      <w:marLeft w:val="0"/>
      <w:marRight w:val="0"/>
      <w:marTop w:val="0"/>
      <w:marBottom w:val="0"/>
      <w:divBdr>
        <w:top w:val="none" w:sz="0" w:space="0" w:color="auto"/>
        <w:left w:val="none" w:sz="0" w:space="0" w:color="auto"/>
        <w:bottom w:val="none" w:sz="0" w:space="0" w:color="auto"/>
        <w:right w:val="none" w:sz="0" w:space="0" w:color="auto"/>
      </w:divBdr>
    </w:div>
    <w:div w:id="693727410">
      <w:bodyDiv w:val="1"/>
      <w:marLeft w:val="0"/>
      <w:marRight w:val="0"/>
      <w:marTop w:val="0"/>
      <w:marBottom w:val="0"/>
      <w:divBdr>
        <w:top w:val="none" w:sz="0" w:space="0" w:color="auto"/>
        <w:left w:val="none" w:sz="0" w:space="0" w:color="auto"/>
        <w:bottom w:val="none" w:sz="0" w:space="0" w:color="auto"/>
        <w:right w:val="none" w:sz="0" w:space="0" w:color="auto"/>
      </w:divBdr>
    </w:div>
    <w:div w:id="751198382">
      <w:bodyDiv w:val="1"/>
      <w:marLeft w:val="0"/>
      <w:marRight w:val="0"/>
      <w:marTop w:val="0"/>
      <w:marBottom w:val="0"/>
      <w:divBdr>
        <w:top w:val="none" w:sz="0" w:space="0" w:color="auto"/>
        <w:left w:val="none" w:sz="0" w:space="0" w:color="auto"/>
        <w:bottom w:val="none" w:sz="0" w:space="0" w:color="auto"/>
        <w:right w:val="none" w:sz="0" w:space="0" w:color="auto"/>
      </w:divBdr>
    </w:div>
    <w:div w:id="1070151153">
      <w:bodyDiv w:val="1"/>
      <w:marLeft w:val="0"/>
      <w:marRight w:val="0"/>
      <w:marTop w:val="0"/>
      <w:marBottom w:val="0"/>
      <w:divBdr>
        <w:top w:val="none" w:sz="0" w:space="0" w:color="auto"/>
        <w:left w:val="none" w:sz="0" w:space="0" w:color="auto"/>
        <w:bottom w:val="none" w:sz="0" w:space="0" w:color="auto"/>
        <w:right w:val="none" w:sz="0" w:space="0" w:color="auto"/>
      </w:divBdr>
    </w:div>
    <w:div w:id="1110010567">
      <w:bodyDiv w:val="1"/>
      <w:marLeft w:val="0"/>
      <w:marRight w:val="0"/>
      <w:marTop w:val="0"/>
      <w:marBottom w:val="0"/>
      <w:divBdr>
        <w:top w:val="none" w:sz="0" w:space="0" w:color="auto"/>
        <w:left w:val="none" w:sz="0" w:space="0" w:color="auto"/>
        <w:bottom w:val="none" w:sz="0" w:space="0" w:color="auto"/>
        <w:right w:val="none" w:sz="0" w:space="0" w:color="auto"/>
      </w:divBdr>
    </w:div>
    <w:div w:id="1578443882">
      <w:bodyDiv w:val="1"/>
      <w:marLeft w:val="0"/>
      <w:marRight w:val="0"/>
      <w:marTop w:val="0"/>
      <w:marBottom w:val="0"/>
      <w:divBdr>
        <w:top w:val="none" w:sz="0" w:space="0" w:color="auto"/>
        <w:left w:val="none" w:sz="0" w:space="0" w:color="auto"/>
        <w:bottom w:val="none" w:sz="0" w:space="0" w:color="auto"/>
        <w:right w:val="none" w:sz="0" w:space="0" w:color="auto"/>
      </w:divBdr>
    </w:div>
    <w:div w:id="1687705380">
      <w:bodyDiv w:val="1"/>
      <w:marLeft w:val="0"/>
      <w:marRight w:val="0"/>
      <w:marTop w:val="0"/>
      <w:marBottom w:val="0"/>
      <w:divBdr>
        <w:top w:val="none" w:sz="0" w:space="0" w:color="auto"/>
        <w:left w:val="none" w:sz="0" w:space="0" w:color="auto"/>
        <w:bottom w:val="none" w:sz="0" w:space="0" w:color="auto"/>
        <w:right w:val="none" w:sz="0" w:space="0" w:color="auto"/>
      </w:divBdr>
    </w:div>
    <w:div w:id="1773891984">
      <w:bodyDiv w:val="1"/>
      <w:marLeft w:val="0"/>
      <w:marRight w:val="0"/>
      <w:marTop w:val="0"/>
      <w:marBottom w:val="0"/>
      <w:divBdr>
        <w:top w:val="none" w:sz="0" w:space="0" w:color="auto"/>
        <w:left w:val="none" w:sz="0" w:space="0" w:color="auto"/>
        <w:bottom w:val="none" w:sz="0" w:space="0" w:color="auto"/>
        <w:right w:val="none" w:sz="0" w:space="0" w:color="auto"/>
      </w:divBdr>
    </w:div>
    <w:div w:id="1935165252">
      <w:bodyDiv w:val="1"/>
      <w:marLeft w:val="0"/>
      <w:marRight w:val="0"/>
      <w:marTop w:val="0"/>
      <w:marBottom w:val="0"/>
      <w:divBdr>
        <w:top w:val="none" w:sz="0" w:space="0" w:color="auto"/>
        <w:left w:val="none" w:sz="0" w:space="0" w:color="auto"/>
        <w:bottom w:val="none" w:sz="0" w:space="0" w:color="auto"/>
        <w:right w:val="none" w:sz="0" w:space="0" w:color="auto"/>
      </w:divBdr>
    </w:div>
    <w:div w:id="20528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mailto:Lois.drake@ndcs.org.uk"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NDCSLONSAN1A\SHARED\Policy%20and%20Campaigns\NDCS%20COUNTRY%20OFFICES\NDCS%20Scotland\Policy%20&amp;%20Campaigns\Education\Attainment%20data\Year%20on%20Year%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DCSLONSAN1A\SHARED\Policy%20and%20Campaigns\NDCS%20COUNTRY%20OFFICES\NDCS%20Scotland\Policy%20&amp;%20Campaigns\Education\Attainment%20data\Year%20on%20Year%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DCSLONSAN1A\SHARED\Policy%20and%20Campaigns\NDCS%20COUNTRY%20OFFICES\NDCS%20Scotland\Policy%20&amp;%20Campaigns\Education\Attainment%20data\Year%20on%20Year%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DCSLONSAN1A\SHARED\Policy%20and%20Campaigns\NDCS%20COUNTRY%20OFFICES\NDCS%20Scotland\Policy%20&amp;%20Campaigns\Education\Attainment%20data\Year%20on%20Year%20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DCSLONSAN1A\SHARED\Policy%20and%20Campaigns\NDCS%20COUNTRY%20OFFICES\NDCS%20Scotland\Policy%20&amp;%20Campaigns\Education\Attainment%20data\Year%20on%20Year%20Analy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NDCSLONSAN1A\SHARED\Policy%20and%20Campaigns\NDCS%20COUNTRY%20OFFICES\NDCS%20Scotland\Policy%20&amp;%20Campaigns\Education\Attainment%20data\Year%20on%20Year%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Sheet1!$B$2</c:f>
              <c:strCache>
                <c:ptCount val="1"/>
                <c:pt idx="0">
                  <c:v>Deaf pupils</c:v>
                </c:pt>
              </c:strCache>
            </c:strRef>
          </c:tx>
          <c:marker>
            <c:symbol val="none"/>
          </c:marker>
          <c:cat>
            <c:strRef>
              <c:f>Sheet1!$A$3:$A$11</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Sheet1!$B$3:$B$11</c:f>
              <c:numCache>
                <c:formatCode>General</c:formatCode>
                <c:ptCount val="9"/>
                <c:pt idx="0">
                  <c:v>9.1</c:v>
                </c:pt>
                <c:pt idx="1">
                  <c:v>12.6</c:v>
                </c:pt>
                <c:pt idx="2">
                  <c:v>8.1999999999999993</c:v>
                </c:pt>
                <c:pt idx="3">
                  <c:v>9.8000000000000007</c:v>
                </c:pt>
                <c:pt idx="4">
                  <c:v>0</c:v>
                </c:pt>
                <c:pt idx="5">
                  <c:v>11.8</c:v>
                </c:pt>
                <c:pt idx="6">
                  <c:v>10.3</c:v>
                </c:pt>
                <c:pt idx="7">
                  <c:v>9.4</c:v>
                </c:pt>
                <c:pt idx="8">
                  <c:v>8.1999999999999993</c:v>
                </c:pt>
              </c:numCache>
            </c:numRef>
          </c:val>
          <c:smooth val="0"/>
        </c:ser>
        <c:ser>
          <c:idx val="1"/>
          <c:order val="1"/>
          <c:tx>
            <c:strRef>
              <c:f>Sheet1!$C$2</c:f>
              <c:strCache>
                <c:ptCount val="1"/>
                <c:pt idx="0">
                  <c:v>No ASN pupils</c:v>
                </c:pt>
              </c:strCache>
            </c:strRef>
          </c:tx>
          <c:marker>
            <c:symbol val="none"/>
          </c:marker>
          <c:cat>
            <c:strRef>
              <c:f>Sheet1!$A$3:$A$11</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Sheet1!$C$3:$C$11</c:f>
              <c:numCache>
                <c:formatCode>General</c:formatCode>
                <c:ptCount val="9"/>
                <c:pt idx="0">
                  <c:v>1.9</c:v>
                </c:pt>
                <c:pt idx="1">
                  <c:v>1.5</c:v>
                </c:pt>
                <c:pt idx="2">
                  <c:v>1.1000000000000001</c:v>
                </c:pt>
                <c:pt idx="3">
                  <c:v>0.9</c:v>
                </c:pt>
                <c:pt idx="4">
                  <c:v>0</c:v>
                </c:pt>
                <c:pt idx="5">
                  <c:v>1.2</c:v>
                </c:pt>
                <c:pt idx="6">
                  <c:v>1.1000000000000001</c:v>
                </c:pt>
                <c:pt idx="7">
                  <c:v>1</c:v>
                </c:pt>
                <c:pt idx="8">
                  <c:v>1.1000000000000001</c:v>
                </c:pt>
              </c:numCache>
            </c:numRef>
          </c:val>
          <c:smooth val="0"/>
        </c:ser>
        <c:ser>
          <c:idx val="2"/>
          <c:order val="2"/>
          <c:tx>
            <c:strRef>
              <c:f>Sheet1!$D$2</c:f>
              <c:strCache>
                <c:ptCount val="1"/>
                <c:pt idx="0">
                  <c:v>All pupils</c:v>
                </c:pt>
              </c:strCache>
            </c:strRef>
          </c:tx>
          <c:marker>
            <c:symbol val="none"/>
          </c:marker>
          <c:cat>
            <c:strRef>
              <c:f>Sheet1!$A$3:$A$11</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Sheet1!$D$3:$D$11</c:f>
              <c:numCache>
                <c:formatCode>General</c:formatCode>
                <c:ptCount val="9"/>
                <c:pt idx="0">
                  <c:v>2.9</c:v>
                </c:pt>
                <c:pt idx="1">
                  <c:v>2.6</c:v>
                </c:pt>
                <c:pt idx="2">
                  <c:v>2.2000000000000002</c:v>
                </c:pt>
                <c:pt idx="3">
                  <c:v>2</c:v>
                </c:pt>
                <c:pt idx="4">
                  <c:v>2</c:v>
                </c:pt>
                <c:pt idx="5">
                  <c:v>2.6</c:v>
                </c:pt>
                <c:pt idx="6">
                  <c:v>2.5</c:v>
                </c:pt>
                <c:pt idx="7">
                  <c:v>2.5</c:v>
                </c:pt>
                <c:pt idx="8">
                  <c:v>2.6</c:v>
                </c:pt>
              </c:numCache>
            </c:numRef>
          </c:val>
          <c:smooth val="0"/>
        </c:ser>
        <c:dLbls>
          <c:showLegendKey val="0"/>
          <c:showVal val="0"/>
          <c:showCatName val="0"/>
          <c:showSerName val="0"/>
          <c:showPercent val="0"/>
          <c:showBubbleSize val="0"/>
        </c:dLbls>
        <c:smooth val="0"/>
        <c:axId val="462051608"/>
        <c:axId val="462052000"/>
      </c:lineChart>
      <c:catAx>
        <c:axId val="462051608"/>
        <c:scaling>
          <c:orientation val="minMax"/>
        </c:scaling>
        <c:delete val="0"/>
        <c:axPos val="b"/>
        <c:numFmt formatCode="General" sourceLinked="0"/>
        <c:majorTickMark val="out"/>
        <c:minorTickMark val="none"/>
        <c:tickLblPos val="nextTo"/>
        <c:crossAx val="462052000"/>
        <c:crosses val="autoZero"/>
        <c:auto val="1"/>
        <c:lblAlgn val="ctr"/>
        <c:lblOffset val="100"/>
        <c:noMultiLvlLbl val="0"/>
      </c:catAx>
      <c:valAx>
        <c:axId val="462052000"/>
        <c:scaling>
          <c:orientation val="minMax"/>
        </c:scaling>
        <c:delete val="0"/>
        <c:axPos val="l"/>
        <c:majorGridlines/>
        <c:numFmt formatCode="General" sourceLinked="1"/>
        <c:majorTickMark val="out"/>
        <c:minorTickMark val="none"/>
        <c:tickLblPos val="nextTo"/>
        <c:crossAx val="4620516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Sheet1!$B$53</c:f>
              <c:strCache>
                <c:ptCount val="1"/>
                <c:pt idx="0">
                  <c:v>Deaf pupils</c:v>
                </c:pt>
              </c:strCache>
            </c:strRef>
          </c:tx>
          <c:marker>
            <c:symbol val="none"/>
          </c:marker>
          <c:cat>
            <c:strRef>
              <c:f>Sheet1!$A$54:$A$62</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Sheet1!$B$54:$B$62</c:f>
              <c:numCache>
                <c:formatCode>General</c:formatCode>
                <c:ptCount val="9"/>
                <c:pt idx="0">
                  <c:v>51.6</c:v>
                </c:pt>
                <c:pt idx="1">
                  <c:v>34.9</c:v>
                </c:pt>
                <c:pt idx="2">
                  <c:v>45.2</c:v>
                </c:pt>
                <c:pt idx="3">
                  <c:v>45.1</c:v>
                </c:pt>
                <c:pt idx="4">
                  <c:v>51.6</c:v>
                </c:pt>
                <c:pt idx="5">
                  <c:v>43.1</c:v>
                </c:pt>
                <c:pt idx="6">
                  <c:v>38.299999999999997</c:v>
                </c:pt>
                <c:pt idx="7">
                  <c:v>37.4</c:v>
                </c:pt>
                <c:pt idx="8">
                  <c:v>39.5</c:v>
                </c:pt>
              </c:numCache>
            </c:numRef>
          </c:val>
          <c:smooth val="0"/>
        </c:ser>
        <c:ser>
          <c:idx val="1"/>
          <c:order val="1"/>
          <c:tx>
            <c:strRef>
              <c:f>Sheet1!$C$53</c:f>
              <c:strCache>
                <c:ptCount val="1"/>
                <c:pt idx="0">
                  <c:v>No ASN pupils</c:v>
                </c:pt>
              </c:strCache>
            </c:strRef>
          </c:tx>
          <c:marker>
            <c:symbol val="none"/>
          </c:marker>
          <c:cat>
            <c:strRef>
              <c:f>Sheet1!$A$54:$A$62</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Sheet1!$C$54:$C$62</c:f>
              <c:numCache>
                <c:formatCode>General</c:formatCode>
                <c:ptCount val="9"/>
                <c:pt idx="0">
                  <c:v>43.4</c:v>
                </c:pt>
                <c:pt idx="1">
                  <c:v>40.799999999999997</c:v>
                </c:pt>
                <c:pt idx="2">
                  <c:v>37.299999999999997</c:v>
                </c:pt>
                <c:pt idx="3">
                  <c:v>36.6</c:v>
                </c:pt>
                <c:pt idx="4">
                  <c:v>33.200000000000003</c:v>
                </c:pt>
                <c:pt idx="5">
                  <c:v>31.1</c:v>
                </c:pt>
                <c:pt idx="6">
                  <c:v>29.1</c:v>
                </c:pt>
                <c:pt idx="7">
                  <c:v>28.5</c:v>
                </c:pt>
                <c:pt idx="8">
                  <c:v>27</c:v>
                </c:pt>
              </c:numCache>
            </c:numRef>
          </c:val>
          <c:smooth val="0"/>
        </c:ser>
        <c:ser>
          <c:idx val="2"/>
          <c:order val="2"/>
          <c:tx>
            <c:strRef>
              <c:f>Sheet1!$D$53</c:f>
              <c:strCache>
                <c:ptCount val="1"/>
                <c:pt idx="0">
                  <c:v>All pupils</c:v>
                </c:pt>
              </c:strCache>
            </c:strRef>
          </c:tx>
          <c:marker>
            <c:symbol val="none"/>
          </c:marker>
          <c:cat>
            <c:strRef>
              <c:f>Sheet1!$A$54:$A$62</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Sheet1!$D$54:$D$62</c:f>
              <c:numCache>
                <c:formatCode>General</c:formatCode>
                <c:ptCount val="9"/>
                <c:pt idx="0">
                  <c:v>43.9</c:v>
                </c:pt>
                <c:pt idx="1">
                  <c:v>42.5</c:v>
                </c:pt>
                <c:pt idx="2">
                  <c:v>39.9</c:v>
                </c:pt>
                <c:pt idx="3">
                  <c:v>40.200000000000003</c:v>
                </c:pt>
                <c:pt idx="4">
                  <c:v>37.5</c:v>
                </c:pt>
                <c:pt idx="5">
                  <c:v>35.799999999999997</c:v>
                </c:pt>
                <c:pt idx="6">
                  <c:v>34.5</c:v>
                </c:pt>
                <c:pt idx="7">
                  <c:v>34.9</c:v>
                </c:pt>
                <c:pt idx="8">
                  <c:v>34</c:v>
                </c:pt>
              </c:numCache>
            </c:numRef>
          </c:val>
          <c:smooth val="0"/>
        </c:ser>
        <c:dLbls>
          <c:showLegendKey val="0"/>
          <c:showVal val="0"/>
          <c:showCatName val="0"/>
          <c:showSerName val="0"/>
          <c:showPercent val="0"/>
          <c:showBubbleSize val="0"/>
        </c:dLbls>
        <c:smooth val="0"/>
        <c:axId val="462052784"/>
        <c:axId val="462992240"/>
      </c:lineChart>
      <c:catAx>
        <c:axId val="462052784"/>
        <c:scaling>
          <c:orientation val="minMax"/>
        </c:scaling>
        <c:delete val="0"/>
        <c:axPos val="b"/>
        <c:numFmt formatCode="General" sourceLinked="0"/>
        <c:majorTickMark val="out"/>
        <c:minorTickMark val="none"/>
        <c:tickLblPos val="nextTo"/>
        <c:crossAx val="462992240"/>
        <c:crosses val="autoZero"/>
        <c:auto val="1"/>
        <c:lblAlgn val="ctr"/>
        <c:lblOffset val="100"/>
        <c:noMultiLvlLbl val="0"/>
      </c:catAx>
      <c:valAx>
        <c:axId val="462992240"/>
        <c:scaling>
          <c:orientation val="minMax"/>
        </c:scaling>
        <c:delete val="0"/>
        <c:axPos val="l"/>
        <c:majorGridlines/>
        <c:numFmt formatCode="General" sourceLinked="1"/>
        <c:majorTickMark val="out"/>
        <c:minorTickMark val="none"/>
        <c:tickLblPos val="nextTo"/>
        <c:crossAx val="4620527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Sheet1!$B$24</c:f>
              <c:strCache>
                <c:ptCount val="1"/>
                <c:pt idx="0">
                  <c:v>Deaf pupils</c:v>
                </c:pt>
              </c:strCache>
            </c:strRef>
          </c:tx>
          <c:marker>
            <c:symbol val="none"/>
          </c:marker>
          <c:cat>
            <c:strRef>
              <c:f>Sheet1!$A$25:$A$33</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Sheet1!$B$25:$B$33</c:f>
              <c:numCache>
                <c:formatCode>General</c:formatCode>
                <c:ptCount val="9"/>
                <c:pt idx="0">
                  <c:v>12.1</c:v>
                </c:pt>
                <c:pt idx="1">
                  <c:v>25.2</c:v>
                </c:pt>
                <c:pt idx="2">
                  <c:v>36.4</c:v>
                </c:pt>
                <c:pt idx="3">
                  <c:v>36.299999999999997</c:v>
                </c:pt>
                <c:pt idx="4">
                  <c:v>33.299999999999997</c:v>
                </c:pt>
                <c:pt idx="5">
                  <c:v>38.700000000000003</c:v>
                </c:pt>
                <c:pt idx="6">
                  <c:v>44.2</c:v>
                </c:pt>
                <c:pt idx="7">
                  <c:v>42.4</c:v>
                </c:pt>
                <c:pt idx="8">
                  <c:v>42.6</c:v>
                </c:pt>
              </c:numCache>
            </c:numRef>
          </c:val>
          <c:smooth val="0"/>
        </c:ser>
        <c:ser>
          <c:idx val="1"/>
          <c:order val="1"/>
          <c:tx>
            <c:strRef>
              <c:f>Sheet1!$C$24</c:f>
              <c:strCache>
                <c:ptCount val="1"/>
                <c:pt idx="0">
                  <c:v>No ASN pupils</c:v>
                </c:pt>
              </c:strCache>
            </c:strRef>
          </c:tx>
          <c:marker>
            <c:symbol val="none"/>
          </c:marker>
          <c:cat>
            <c:strRef>
              <c:f>Sheet1!$A$25:$A$33</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Sheet1!$C$25:$C$33</c:f>
              <c:numCache>
                <c:formatCode>General</c:formatCode>
                <c:ptCount val="9"/>
                <c:pt idx="0">
                  <c:v>52.7</c:v>
                </c:pt>
                <c:pt idx="1">
                  <c:v>55.8</c:v>
                </c:pt>
                <c:pt idx="2">
                  <c:v>60.2</c:v>
                </c:pt>
                <c:pt idx="3">
                  <c:v>61.1</c:v>
                </c:pt>
                <c:pt idx="4">
                  <c:v>64.8</c:v>
                </c:pt>
                <c:pt idx="5">
                  <c:v>67</c:v>
                </c:pt>
                <c:pt idx="6">
                  <c:v>69.099999999999994</c:v>
                </c:pt>
                <c:pt idx="7">
                  <c:v>69.8</c:v>
                </c:pt>
                <c:pt idx="8">
                  <c:v>71.3</c:v>
                </c:pt>
              </c:numCache>
            </c:numRef>
          </c:val>
          <c:smooth val="0"/>
        </c:ser>
        <c:ser>
          <c:idx val="2"/>
          <c:order val="2"/>
          <c:tx>
            <c:strRef>
              <c:f>Sheet1!$D$24</c:f>
              <c:strCache>
                <c:ptCount val="1"/>
                <c:pt idx="0">
                  <c:v>All pupils</c:v>
                </c:pt>
              </c:strCache>
            </c:strRef>
          </c:tx>
          <c:marker>
            <c:symbol val="none"/>
          </c:marker>
          <c:cat>
            <c:strRef>
              <c:f>Sheet1!$A$25:$A$33</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Sheet1!$D$25:$D$33</c:f>
              <c:numCache>
                <c:formatCode>General</c:formatCode>
                <c:ptCount val="9"/>
                <c:pt idx="0">
                  <c:v>49.8</c:v>
                </c:pt>
                <c:pt idx="1">
                  <c:v>51.8</c:v>
                </c:pt>
                <c:pt idx="2">
                  <c:v>54.8</c:v>
                </c:pt>
                <c:pt idx="3">
                  <c:v>54.8</c:v>
                </c:pt>
                <c:pt idx="4">
                  <c:v>58</c:v>
                </c:pt>
                <c:pt idx="5">
                  <c:v>59.3</c:v>
                </c:pt>
                <c:pt idx="6">
                  <c:v>60.7</c:v>
                </c:pt>
                <c:pt idx="7">
                  <c:v>60.3</c:v>
                </c:pt>
                <c:pt idx="8">
                  <c:v>61.3</c:v>
                </c:pt>
              </c:numCache>
            </c:numRef>
          </c:val>
          <c:smooth val="0"/>
        </c:ser>
        <c:dLbls>
          <c:showLegendKey val="0"/>
          <c:showVal val="0"/>
          <c:showCatName val="0"/>
          <c:showSerName val="0"/>
          <c:showPercent val="0"/>
          <c:showBubbleSize val="0"/>
        </c:dLbls>
        <c:smooth val="0"/>
        <c:axId val="462993024"/>
        <c:axId val="462993416"/>
      </c:lineChart>
      <c:catAx>
        <c:axId val="462993024"/>
        <c:scaling>
          <c:orientation val="minMax"/>
        </c:scaling>
        <c:delete val="0"/>
        <c:axPos val="b"/>
        <c:numFmt formatCode="General" sourceLinked="0"/>
        <c:majorTickMark val="out"/>
        <c:minorTickMark val="none"/>
        <c:tickLblPos val="nextTo"/>
        <c:crossAx val="462993416"/>
        <c:crosses val="autoZero"/>
        <c:auto val="1"/>
        <c:lblAlgn val="ctr"/>
        <c:lblOffset val="100"/>
        <c:noMultiLvlLbl val="0"/>
      </c:catAx>
      <c:valAx>
        <c:axId val="462993416"/>
        <c:scaling>
          <c:orientation val="minMax"/>
        </c:scaling>
        <c:delete val="0"/>
        <c:axPos val="l"/>
        <c:majorGridlines/>
        <c:numFmt formatCode="General" sourceLinked="1"/>
        <c:majorTickMark val="out"/>
        <c:minorTickMark val="none"/>
        <c:tickLblPos val="nextTo"/>
        <c:crossAx val="46299302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Sheet1!$B$89</c:f>
              <c:strCache>
                <c:ptCount val="1"/>
                <c:pt idx="0">
                  <c:v>Deaf pupils</c:v>
                </c:pt>
              </c:strCache>
            </c:strRef>
          </c:tx>
          <c:marker>
            <c:symbol val="none"/>
          </c:marker>
          <c:cat>
            <c:strRef>
              <c:f>Sheet1!$A$90:$A$98</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Sheet1!$B$90:$B$98</c:f>
              <c:numCache>
                <c:formatCode>General</c:formatCode>
                <c:ptCount val="9"/>
                <c:pt idx="0">
                  <c:v>37.4</c:v>
                </c:pt>
                <c:pt idx="1">
                  <c:v>42.4</c:v>
                </c:pt>
                <c:pt idx="2">
                  <c:v>45.2</c:v>
                </c:pt>
                <c:pt idx="3">
                  <c:v>48</c:v>
                </c:pt>
                <c:pt idx="4">
                  <c:v>45.7</c:v>
                </c:pt>
                <c:pt idx="5">
                  <c:v>46.1</c:v>
                </c:pt>
                <c:pt idx="6">
                  <c:v>37.4</c:v>
                </c:pt>
                <c:pt idx="7">
                  <c:v>38.799999999999997</c:v>
                </c:pt>
                <c:pt idx="8">
                  <c:v>43.6</c:v>
                </c:pt>
              </c:numCache>
            </c:numRef>
          </c:val>
          <c:smooth val="0"/>
        </c:ser>
        <c:ser>
          <c:idx val="1"/>
          <c:order val="1"/>
          <c:tx>
            <c:strRef>
              <c:f>Sheet1!$C$89</c:f>
              <c:strCache>
                <c:ptCount val="1"/>
                <c:pt idx="0">
                  <c:v>No ASN pupils</c:v>
                </c:pt>
              </c:strCache>
            </c:strRef>
          </c:tx>
          <c:marker>
            <c:symbol val="none"/>
          </c:marker>
          <c:cat>
            <c:strRef>
              <c:f>Sheet1!$A$90:$A$98</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Sheet1!$C$90:$C$98</c:f>
              <c:numCache>
                <c:formatCode>General</c:formatCode>
                <c:ptCount val="9"/>
                <c:pt idx="0">
                  <c:v>26</c:v>
                </c:pt>
                <c:pt idx="1">
                  <c:v>25.8</c:v>
                </c:pt>
                <c:pt idx="2">
                  <c:v>24.9</c:v>
                </c:pt>
                <c:pt idx="3">
                  <c:v>25.7</c:v>
                </c:pt>
                <c:pt idx="4">
                  <c:v>23.5</c:v>
                </c:pt>
                <c:pt idx="5">
                  <c:v>24.6</c:v>
                </c:pt>
                <c:pt idx="6">
                  <c:v>23.1</c:v>
                </c:pt>
                <c:pt idx="7">
                  <c:v>22.5</c:v>
                </c:pt>
                <c:pt idx="8">
                  <c:v>21.9</c:v>
                </c:pt>
              </c:numCache>
            </c:numRef>
          </c:val>
          <c:smooth val="0"/>
        </c:ser>
        <c:ser>
          <c:idx val="2"/>
          <c:order val="2"/>
          <c:tx>
            <c:strRef>
              <c:f>Sheet1!$D$89</c:f>
              <c:strCache>
                <c:ptCount val="1"/>
                <c:pt idx="0">
                  <c:v>All pupils</c:v>
                </c:pt>
              </c:strCache>
            </c:strRef>
          </c:tx>
          <c:marker>
            <c:symbol val="none"/>
          </c:marker>
          <c:cat>
            <c:strRef>
              <c:f>Sheet1!$A$90:$A$98</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Sheet1!$D$90:$D$98</c:f>
              <c:numCache>
                <c:formatCode>General</c:formatCode>
                <c:ptCount val="9"/>
                <c:pt idx="0">
                  <c:v>27.1</c:v>
                </c:pt>
                <c:pt idx="1">
                  <c:v>27.1</c:v>
                </c:pt>
                <c:pt idx="2">
                  <c:v>27</c:v>
                </c:pt>
                <c:pt idx="3">
                  <c:v>28</c:v>
                </c:pt>
                <c:pt idx="4">
                  <c:v>26.5</c:v>
                </c:pt>
                <c:pt idx="5">
                  <c:v>27.9</c:v>
                </c:pt>
              </c:numCache>
            </c:numRef>
          </c:val>
          <c:smooth val="0"/>
        </c:ser>
        <c:dLbls>
          <c:showLegendKey val="0"/>
          <c:showVal val="0"/>
          <c:showCatName val="0"/>
          <c:showSerName val="0"/>
          <c:showPercent val="0"/>
          <c:showBubbleSize val="0"/>
        </c:dLbls>
        <c:smooth val="0"/>
        <c:axId val="462994200"/>
        <c:axId val="462994592"/>
      </c:lineChart>
      <c:catAx>
        <c:axId val="462994200"/>
        <c:scaling>
          <c:orientation val="minMax"/>
        </c:scaling>
        <c:delete val="0"/>
        <c:axPos val="b"/>
        <c:numFmt formatCode="General" sourceLinked="0"/>
        <c:majorTickMark val="out"/>
        <c:minorTickMark val="none"/>
        <c:tickLblPos val="nextTo"/>
        <c:crossAx val="462994592"/>
        <c:crosses val="autoZero"/>
        <c:auto val="1"/>
        <c:lblAlgn val="ctr"/>
        <c:lblOffset val="100"/>
        <c:noMultiLvlLbl val="0"/>
      </c:catAx>
      <c:valAx>
        <c:axId val="462994592"/>
        <c:scaling>
          <c:orientation val="minMax"/>
        </c:scaling>
        <c:delete val="0"/>
        <c:axPos val="l"/>
        <c:majorGridlines/>
        <c:numFmt formatCode="General" sourceLinked="1"/>
        <c:majorTickMark val="out"/>
        <c:minorTickMark val="none"/>
        <c:tickLblPos val="nextTo"/>
        <c:crossAx val="4629942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Sheet1!$B$73</c:f>
              <c:strCache>
                <c:ptCount val="1"/>
                <c:pt idx="0">
                  <c:v>Deaf pupils</c:v>
                </c:pt>
              </c:strCache>
            </c:strRef>
          </c:tx>
          <c:marker>
            <c:symbol val="none"/>
          </c:marker>
          <c:cat>
            <c:strRef>
              <c:f>Sheet1!$A$74:$A$82</c:f>
              <c:strCache>
                <c:ptCount val="9"/>
                <c:pt idx="0">
                  <c:v>2009/2010</c:v>
                </c:pt>
                <c:pt idx="1">
                  <c:v>2010/11</c:v>
                </c:pt>
                <c:pt idx="2">
                  <c:v>2011/12</c:v>
                </c:pt>
                <c:pt idx="3">
                  <c:v>2012/13</c:v>
                </c:pt>
                <c:pt idx="4">
                  <c:v>2013/14</c:v>
                </c:pt>
                <c:pt idx="5">
                  <c:v>2014/15</c:v>
                </c:pt>
                <c:pt idx="6">
                  <c:v>2015/16</c:v>
                </c:pt>
                <c:pt idx="7">
                  <c:v>2016/17</c:v>
                </c:pt>
                <c:pt idx="8">
                  <c:v>2017/18</c:v>
                </c:pt>
              </c:strCache>
            </c:strRef>
          </c:cat>
          <c:val>
            <c:numRef>
              <c:f>Sheet1!$B$74:$B$82</c:f>
              <c:numCache>
                <c:formatCode>General</c:formatCode>
                <c:ptCount val="9"/>
                <c:pt idx="0">
                  <c:v>11.1</c:v>
                </c:pt>
                <c:pt idx="1">
                  <c:v>17.399999999999999</c:v>
                </c:pt>
                <c:pt idx="2">
                  <c:v>24</c:v>
                </c:pt>
                <c:pt idx="3">
                  <c:v>20.100000000000001</c:v>
                </c:pt>
                <c:pt idx="4">
                  <c:v>24.7</c:v>
                </c:pt>
                <c:pt idx="5">
                  <c:v>22.1</c:v>
                </c:pt>
                <c:pt idx="6">
                  <c:v>36.1</c:v>
                </c:pt>
                <c:pt idx="7">
                  <c:v>25.2</c:v>
                </c:pt>
                <c:pt idx="8">
                  <c:v>26.8</c:v>
                </c:pt>
              </c:numCache>
            </c:numRef>
          </c:val>
          <c:smooth val="0"/>
        </c:ser>
        <c:ser>
          <c:idx val="1"/>
          <c:order val="1"/>
          <c:tx>
            <c:strRef>
              <c:f>Sheet1!$C$73</c:f>
              <c:strCache>
                <c:ptCount val="1"/>
                <c:pt idx="0">
                  <c:v>No ASN pupils</c:v>
                </c:pt>
              </c:strCache>
            </c:strRef>
          </c:tx>
          <c:marker>
            <c:symbol val="none"/>
          </c:marker>
          <c:cat>
            <c:strRef>
              <c:f>Sheet1!$A$74:$A$82</c:f>
              <c:strCache>
                <c:ptCount val="9"/>
                <c:pt idx="0">
                  <c:v>2009/2010</c:v>
                </c:pt>
                <c:pt idx="1">
                  <c:v>2010/11</c:v>
                </c:pt>
                <c:pt idx="2">
                  <c:v>2011/12</c:v>
                </c:pt>
                <c:pt idx="3">
                  <c:v>2012/13</c:v>
                </c:pt>
                <c:pt idx="4">
                  <c:v>2013/14</c:v>
                </c:pt>
                <c:pt idx="5">
                  <c:v>2014/15</c:v>
                </c:pt>
                <c:pt idx="6">
                  <c:v>2015/16</c:v>
                </c:pt>
                <c:pt idx="7">
                  <c:v>2016/17</c:v>
                </c:pt>
                <c:pt idx="8">
                  <c:v>2017/18</c:v>
                </c:pt>
              </c:strCache>
            </c:strRef>
          </c:cat>
          <c:val>
            <c:numRef>
              <c:f>Sheet1!$C$74:$C$82</c:f>
              <c:numCache>
                <c:formatCode>General</c:formatCode>
                <c:ptCount val="9"/>
                <c:pt idx="0">
                  <c:v>37.299999999999997</c:v>
                </c:pt>
                <c:pt idx="1">
                  <c:v>38.200000000000003</c:v>
                </c:pt>
                <c:pt idx="2">
                  <c:v>40.4</c:v>
                </c:pt>
                <c:pt idx="3">
                  <c:v>40.299999999999997</c:v>
                </c:pt>
                <c:pt idx="4">
                  <c:v>43.9</c:v>
                </c:pt>
                <c:pt idx="5">
                  <c:v>43.6</c:v>
                </c:pt>
                <c:pt idx="6">
                  <c:v>45.9</c:v>
                </c:pt>
                <c:pt idx="7">
                  <c:v>47.3</c:v>
                </c:pt>
                <c:pt idx="8">
                  <c:v>48.1</c:v>
                </c:pt>
              </c:numCache>
            </c:numRef>
          </c:val>
          <c:smooth val="0"/>
        </c:ser>
        <c:ser>
          <c:idx val="2"/>
          <c:order val="2"/>
          <c:tx>
            <c:strRef>
              <c:f>Sheet1!$D$73</c:f>
              <c:strCache>
                <c:ptCount val="1"/>
                <c:pt idx="0">
                  <c:v>All pupils</c:v>
                </c:pt>
              </c:strCache>
            </c:strRef>
          </c:tx>
          <c:marker>
            <c:symbol val="none"/>
          </c:marker>
          <c:cat>
            <c:strRef>
              <c:f>Sheet1!$A$74:$A$82</c:f>
              <c:strCache>
                <c:ptCount val="9"/>
                <c:pt idx="0">
                  <c:v>2009/2010</c:v>
                </c:pt>
                <c:pt idx="1">
                  <c:v>2010/11</c:v>
                </c:pt>
                <c:pt idx="2">
                  <c:v>2011/12</c:v>
                </c:pt>
                <c:pt idx="3">
                  <c:v>2012/13</c:v>
                </c:pt>
                <c:pt idx="4">
                  <c:v>2013/14</c:v>
                </c:pt>
                <c:pt idx="5">
                  <c:v>2014/15</c:v>
                </c:pt>
                <c:pt idx="6">
                  <c:v>2015/16</c:v>
                </c:pt>
                <c:pt idx="7">
                  <c:v>2016/17</c:v>
                </c:pt>
                <c:pt idx="8">
                  <c:v>2017/18</c:v>
                </c:pt>
              </c:strCache>
            </c:strRef>
          </c:cat>
          <c:val>
            <c:numRef>
              <c:f>Sheet1!$D$74:$D$82</c:f>
              <c:numCache>
                <c:formatCode>General</c:formatCode>
                <c:ptCount val="9"/>
                <c:pt idx="0">
                  <c:v>35.700000000000003</c:v>
                </c:pt>
                <c:pt idx="1">
                  <c:v>35.799999999999997</c:v>
                </c:pt>
                <c:pt idx="2">
                  <c:v>36.799999999999997</c:v>
                </c:pt>
                <c:pt idx="3">
                  <c:v>36</c:v>
                </c:pt>
                <c:pt idx="4">
                  <c:v>39</c:v>
                </c:pt>
                <c:pt idx="5">
                  <c:v>38.200000000000003</c:v>
                </c:pt>
              </c:numCache>
            </c:numRef>
          </c:val>
          <c:smooth val="0"/>
        </c:ser>
        <c:dLbls>
          <c:showLegendKey val="0"/>
          <c:showVal val="0"/>
          <c:showCatName val="0"/>
          <c:showSerName val="0"/>
          <c:showPercent val="0"/>
          <c:showBubbleSize val="0"/>
        </c:dLbls>
        <c:smooth val="0"/>
        <c:axId val="462995376"/>
        <c:axId val="462995768"/>
      </c:lineChart>
      <c:catAx>
        <c:axId val="462995376"/>
        <c:scaling>
          <c:orientation val="minMax"/>
        </c:scaling>
        <c:delete val="0"/>
        <c:axPos val="b"/>
        <c:numFmt formatCode="General" sourceLinked="0"/>
        <c:majorTickMark val="out"/>
        <c:minorTickMark val="none"/>
        <c:tickLblPos val="nextTo"/>
        <c:crossAx val="462995768"/>
        <c:crosses val="autoZero"/>
        <c:auto val="1"/>
        <c:lblAlgn val="ctr"/>
        <c:lblOffset val="100"/>
        <c:noMultiLvlLbl val="0"/>
      </c:catAx>
      <c:valAx>
        <c:axId val="462995768"/>
        <c:scaling>
          <c:orientation val="minMax"/>
        </c:scaling>
        <c:delete val="0"/>
        <c:axPos val="l"/>
        <c:majorGridlines/>
        <c:numFmt formatCode="General" sourceLinked="1"/>
        <c:majorTickMark val="out"/>
        <c:minorTickMark val="none"/>
        <c:tickLblPos val="nextTo"/>
        <c:crossAx val="4629953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Sheet1!$B$105</c:f>
              <c:strCache>
                <c:ptCount val="1"/>
                <c:pt idx="0">
                  <c:v>Deaf pupils</c:v>
                </c:pt>
              </c:strCache>
            </c:strRef>
          </c:tx>
          <c:marker>
            <c:symbol val="none"/>
          </c:marker>
          <c:cat>
            <c:strRef>
              <c:f>Sheet1!$A$106:$A$114</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Sheet1!$B$106:$B$114</c:f>
              <c:numCache>
                <c:formatCode>General</c:formatCode>
                <c:ptCount val="9"/>
                <c:pt idx="0">
                  <c:v>5.6</c:v>
                </c:pt>
                <c:pt idx="1">
                  <c:v>19.600000000000001</c:v>
                </c:pt>
                <c:pt idx="2">
                  <c:v>10.3</c:v>
                </c:pt>
                <c:pt idx="3">
                  <c:v>12.3</c:v>
                </c:pt>
                <c:pt idx="4">
                  <c:v>12.4</c:v>
                </c:pt>
                <c:pt idx="5">
                  <c:v>13.7</c:v>
                </c:pt>
                <c:pt idx="6">
                  <c:v>15.5</c:v>
                </c:pt>
                <c:pt idx="7">
                  <c:v>14.7</c:v>
                </c:pt>
                <c:pt idx="8">
                  <c:v>13.4</c:v>
                </c:pt>
              </c:numCache>
            </c:numRef>
          </c:val>
          <c:smooth val="0"/>
        </c:ser>
        <c:ser>
          <c:idx val="1"/>
          <c:order val="1"/>
          <c:tx>
            <c:strRef>
              <c:f>Sheet1!$C$105</c:f>
              <c:strCache>
                <c:ptCount val="1"/>
                <c:pt idx="0">
                  <c:v>No ASN pupils</c:v>
                </c:pt>
              </c:strCache>
            </c:strRef>
          </c:tx>
          <c:marker>
            <c:symbol val="none"/>
          </c:marker>
          <c:cat>
            <c:strRef>
              <c:f>Sheet1!$A$106:$A$114</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Sheet1!$C$106:$C$114</c:f>
              <c:numCache>
                <c:formatCode>General</c:formatCode>
                <c:ptCount val="9"/>
                <c:pt idx="0">
                  <c:v>18.899999999999999</c:v>
                </c:pt>
                <c:pt idx="1">
                  <c:v>19.7</c:v>
                </c:pt>
                <c:pt idx="2">
                  <c:v>20.399999999999999</c:v>
                </c:pt>
                <c:pt idx="3">
                  <c:v>21</c:v>
                </c:pt>
                <c:pt idx="4">
                  <c:v>22.1</c:v>
                </c:pt>
                <c:pt idx="5">
                  <c:v>22.1</c:v>
                </c:pt>
                <c:pt idx="6">
                  <c:v>22.8</c:v>
                </c:pt>
                <c:pt idx="7">
                  <c:v>22.5</c:v>
                </c:pt>
                <c:pt idx="8">
                  <c:v>23.3</c:v>
                </c:pt>
              </c:numCache>
            </c:numRef>
          </c:val>
          <c:smooth val="0"/>
        </c:ser>
        <c:ser>
          <c:idx val="2"/>
          <c:order val="2"/>
          <c:tx>
            <c:strRef>
              <c:f>Sheet1!$D$105</c:f>
              <c:strCache>
                <c:ptCount val="1"/>
                <c:pt idx="0">
                  <c:v>All pupils</c:v>
                </c:pt>
              </c:strCache>
            </c:strRef>
          </c:tx>
          <c:marker>
            <c:symbol val="none"/>
          </c:marker>
          <c:cat>
            <c:strRef>
              <c:f>Sheet1!$A$106:$A$114</c:f>
              <c:strCache>
                <c:ptCount val="9"/>
                <c:pt idx="0">
                  <c:v>2009/10</c:v>
                </c:pt>
                <c:pt idx="1">
                  <c:v>2010/11</c:v>
                </c:pt>
                <c:pt idx="2">
                  <c:v>2011/12</c:v>
                </c:pt>
                <c:pt idx="3">
                  <c:v>2012/13</c:v>
                </c:pt>
                <c:pt idx="4">
                  <c:v>2013/14</c:v>
                </c:pt>
                <c:pt idx="5">
                  <c:v>2014/15</c:v>
                </c:pt>
                <c:pt idx="6">
                  <c:v>2015/16</c:v>
                </c:pt>
                <c:pt idx="7">
                  <c:v>2016/17</c:v>
                </c:pt>
                <c:pt idx="8">
                  <c:v>2017/18</c:v>
                </c:pt>
              </c:strCache>
            </c:strRef>
          </c:cat>
          <c:val>
            <c:numRef>
              <c:f>Sheet1!$D$106:$D$114</c:f>
              <c:numCache>
                <c:formatCode>General</c:formatCode>
                <c:ptCount val="9"/>
                <c:pt idx="0">
                  <c:v>18.5</c:v>
                </c:pt>
                <c:pt idx="1">
                  <c:v>19.3</c:v>
                </c:pt>
                <c:pt idx="2">
                  <c:v>19.600000000000001</c:v>
                </c:pt>
                <c:pt idx="3">
                  <c:v>20.100000000000001</c:v>
                </c:pt>
                <c:pt idx="4">
                  <c:v>21.1</c:v>
                </c:pt>
                <c:pt idx="5">
                  <c:v>21.2</c:v>
                </c:pt>
              </c:numCache>
            </c:numRef>
          </c:val>
          <c:smooth val="0"/>
        </c:ser>
        <c:dLbls>
          <c:showLegendKey val="0"/>
          <c:showVal val="0"/>
          <c:showCatName val="0"/>
          <c:showSerName val="0"/>
          <c:showPercent val="0"/>
          <c:showBubbleSize val="0"/>
        </c:dLbls>
        <c:smooth val="0"/>
        <c:axId val="463075952"/>
        <c:axId val="463076344"/>
      </c:lineChart>
      <c:catAx>
        <c:axId val="463075952"/>
        <c:scaling>
          <c:orientation val="minMax"/>
        </c:scaling>
        <c:delete val="0"/>
        <c:axPos val="b"/>
        <c:numFmt formatCode="General" sourceLinked="0"/>
        <c:majorTickMark val="out"/>
        <c:minorTickMark val="none"/>
        <c:tickLblPos val="nextTo"/>
        <c:crossAx val="463076344"/>
        <c:crosses val="autoZero"/>
        <c:auto val="1"/>
        <c:lblAlgn val="ctr"/>
        <c:lblOffset val="100"/>
        <c:noMultiLvlLbl val="0"/>
      </c:catAx>
      <c:valAx>
        <c:axId val="463076344"/>
        <c:scaling>
          <c:orientation val="minMax"/>
        </c:scaling>
        <c:delete val="0"/>
        <c:axPos val="l"/>
        <c:majorGridlines/>
        <c:numFmt formatCode="General" sourceLinked="1"/>
        <c:majorTickMark val="out"/>
        <c:minorTickMark val="none"/>
        <c:tickLblPos val="nextTo"/>
        <c:crossAx val="46307595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E93B-EEDA-4CBF-8DD0-FD63C410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Lois Drake</dc:creator>
  <cp:keywords/>
  <dc:description/>
  <cp:lastModifiedBy>Alasdair O'Hara</cp:lastModifiedBy>
  <cp:revision>2</cp:revision>
  <cp:lastPrinted>2006-06-05T09:49:00Z</cp:lastPrinted>
  <dcterms:created xsi:type="dcterms:W3CDTF">2019-08-05T08:56:00Z</dcterms:created>
  <dcterms:modified xsi:type="dcterms:W3CDTF">2019-08-05T08:56:00Z</dcterms:modified>
</cp:coreProperties>
</file>